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4FDA" w14:textId="27030ACB" w:rsidR="00A62176" w:rsidRPr="004A5C5B" w:rsidRDefault="00F54C8F" w:rsidP="00A62176">
      <w:pPr>
        <w:tabs>
          <w:tab w:val="left" w:pos="7230"/>
        </w:tabs>
        <w:spacing w:after="0" w:line="240" w:lineRule="auto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474CA" wp14:editId="52DCEA97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07645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4D75" w14:textId="7E8ED654" w:rsidR="00F54C8F" w:rsidRDefault="00090B7E" w:rsidP="00F54C8F">
                            <w:r>
                              <w:t>Please attach patient 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47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0;width:163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">
                <v:textbox>
                  <w:txbxContent>
                    <w:p w14:paraId="50574D75" w14:textId="7E8ED654" w:rsidR="00F54C8F" w:rsidRDefault="00090B7E" w:rsidP="00F54C8F">
                      <w:r>
                        <w:t>Please attach patient label here</w:t>
                      </w:r>
                    </w:p>
                  </w:txbxContent>
                </v:textbox>
              </v:shape>
            </w:pict>
          </mc:Fallback>
        </mc:AlternateContent>
      </w:r>
      <w:r w:rsidR="00A62176" w:rsidRPr="004A5C5B">
        <w:rPr>
          <w:b/>
          <w:bCs/>
        </w:rPr>
        <w:t>GP Name</w:t>
      </w:r>
      <w:r w:rsidRPr="00F54C8F">
        <w:rPr>
          <w:noProof/>
          <w:lang w:eastAsia="en-GB"/>
        </w:rPr>
        <w:t xml:space="preserve"> </w:t>
      </w:r>
    </w:p>
    <w:p w14:paraId="574D2527" w14:textId="5D1A104F" w:rsidR="00A62176" w:rsidRDefault="00A62176" w:rsidP="004A5C5B">
      <w:pPr>
        <w:tabs>
          <w:tab w:val="left" w:pos="8140"/>
        </w:tabs>
        <w:spacing w:after="0" w:line="240" w:lineRule="auto"/>
      </w:pPr>
      <w:r>
        <w:t xml:space="preserve">Address </w:t>
      </w:r>
      <w:r w:rsidR="00F54C8F">
        <w:t>1</w:t>
      </w:r>
    </w:p>
    <w:p w14:paraId="45972388" w14:textId="77777777" w:rsidR="00A62176" w:rsidRDefault="00A62176" w:rsidP="00A62176">
      <w:pPr>
        <w:tabs>
          <w:tab w:val="left" w:pos="7230"/>
        </w:tabs>
        <w:spacing w:after="0" w:line="240" w:lineRule="auto"/>
      </w:pPr>
      <w:r>
        <w:t>Address 2</w:t>
      </w:r>
    </w:p>
    <w:p w14:paraId="523AF47E" w14:textId="77777777" w:rsidR="00A62176" w:rsidRDefault="00A62176" w:rsidP="00A62176">
      <w:pPr>
        <w:tabs>
          <w:tab w:val="left" w:pos="7230"/>
        </w:tabs>
        <w:spacing w:after="0" w:line="240" w:lineRule="auto"/>
      </w:pPr>
      <w:r>
        <w:t>Address 3</w:t>
      </w:r>
    </w:p>
    <w:p w14:paraId="3AC268AE" w14:textId="77777777" w:rsidR="00A62176" w:rsidRDefault="00A62176" w:rsidP="00A62176">
      <w:pPr>
        <w:tabs>
          <w:tab w:val="left" w:pos="7230"/>
        </w:tabs>
        <w:spacing w:after="0" w:line="240" w:lineRule="auto"/>
      </w:pPr>
      <w:r>
        <w:t>City Postcode</w:t>
      </w:r>
    </w:p>
    <w:p w14:paraId="13216DDB" w14:textId="77777777" w:rsidR="00A62176" w:rsidRDefault="00A62176" w:rsidP="00A62176">
      <w:pPr>
        <w:tabs>
          <w:tab w:val="left" w:pos="7230"/>
        </w:tabs>
        <w:spacing w:after="0" w:line="240" w:lineRule="auto"/>
      </w:pPr>
    </w:p>
    <w:p w14:paraId="43F0373B" w14:textId="513024A1" w:rsidR="0001736B" w:rsidRDefault="00A62176" w:rsidP="004A5C5B">
      <w:pPr>
        <w:tabs>
          <w:tab w:val="left" w:pos="2830"/>
        </w:tabs>
        <w:spacing w:after="0" w:line="240" w:lineRule="auto"/>
      </w:pPr>
      <w:r>
        <w:t>Date</w:t>
      </w:r>
      <w:r w:rsidR="004A5C5B">
        <w:tab/>
      </w:r>
    </w:p>
    <w:p w14:paraId="462361DE" w14:textId="77777777" w:rsidR="00A62176" w:rsidRDefault="00A62176" w:rsidP="00A62176">
      <w:pPr>
        <w:spacing w:after="0" w:line="240" w:lineRule="auto"/>
        <w:jc w:val="both"/>
      </w:pPr>
    </w:p>
    <w:p w14:paraId="1BEF1DA1" w14:textId="073C5160" w:rsidR="00A62176" w:rsidRDefault="001C3079" w:rsidP="00501181">
      <w:pPr>
        <w:spacing w:after="0" w:line="240" w:lineRule="auto"/>
        <w:jc w:val="both"/>
      </w:pPr>
      <w:r>
        <w:t xml:space="preserve">Dear Dr </w:t>
      </w:r>
    </w:p>
    <w:p w14:paraId="20D0892D" w14:textId="77777777" w:rsidR="00501181" w:rsidRPr="00501181" w:rsidRDefault="00501181" w:rsidP="00501181">
      <w:pPr>
        <w:spacing w:after="0" w:line="240" w:lineRule="auto"/>
        <w:jc w:val="both"/>
      </w:pPr>
    </w:p>
    <w:p w14:paraId="2A6E4624" w14:textId="1295E7ED" w:rsidR="0001736B" w:rsidRPr="0001736B" w:rsidRDefault="0001736B" w:rsidP="002D1C49">
      <w:pPr>
        <w:jc w:val="both"/>
        <w:rPr>
          <w:b/>
          <w:bCs/>
        </w:rPr>
      </w:pPr>
      <w:r w:rsidRPr="0001736B">
        <w:rPr>
          <w:b/>
          <w:bCs/>
        </w:rPr>
        <w:t>Patient name……………………………</w:t>
      </w:r>
      <w:proofErr w:type="gramStart"/>
      <w:r w:rsidRPr="0001736B">
        <w:rPr>
          <w:b/>
          <w:bCs/>
        </w:rPr>
        <w:t>…..</w:t>
      </w:r>
      <w:proofErr w:type="gramEnd"/>
    </w:p>
    <w:p w14:paraId="36C3116C" w14:textId="397F15BF" w:rsidR="00F51D1D" w:rsidRDefault="00E961F6" w:rsidP="00F51D1D">
      <w:r>
        <w:t xml:space="preserve">Your patient has been </w:t>
      </w:r>
      <w:r w:rsidR="00A36AEA">
        <w:t xml:space="preserve">recommended to start </w:t>
      </w:r>
      <w:r w:rsidR="00A36AEA" w:rsidRPr="00741360">
        <w:rPr>
          <w:b/>
          <w:bCs/>
        </w:rPr>
        <w:t>dapagliflozin</w:t>
      </w:r>
      <w:r w:rsidR="00D02E01" w:rsidRPr="00741360">
        <w:rPr>
          <w:b/>
          <w:bCs/>
        </w:rPr>
        <w:t xml:space="preserve"> / empagliflozin</w:t>
      </w:r>
      <w:r w:rsidR="00A36AEA" w:rsidRPr="00741360">
        <w:t xml:space="preserve"> </w:t>
      </w:r>
      <w:r w:rsidR="002F64C2" w:rsidRPr="00741360">
        <w:rPr>
          <w:b/>
          <w:bCs/>
        </w:rPr>
        <w:t>[delete as appropriate]</w:t>
      </w:r>
      <w:r w:rsidR="002F64C2" w:rsidRPr="00C61912">
        <w:rPr>
          <w:b/>
          <w:bCs/>
        </w:rPr>
        <w:t xml:space="preserve"> </w:t>
      </w:r>
      <w:r>
        <w:t xml:space="preserve">by the </w:t>
      </w:r>
      <w:r w:rsidR="0094729F" w:rsidRPr="0094729F">
        <w:rPr>
          <w:b/>
          <w:bCs/>
        </w:rPr>
        <w:t>[</w:t>
      </w:r>
      <w:r w:rsidR="0094729F" w:rsidRPr="001D128C">
        <w:rPr>
          <w:b/>
          <w:bCs/>
          <w:u w:val="single"/>
        </w:rPr>
        <w:t>insert specialist team</w:t>
      </w:r>
      <w:r w:rsidR="00C5439C" w:rsidRPr="001D128C">
        <w:rPr>
          <w:b/>
          <w:bCs/>
          <w:u w:val="single"/>
        </w:rPr>
        <w:t xml:space="preserve"> here</w:t>
      </w:r>
      <w:r w:rsidR="0094729F" w:rsidRPr="0094729F">
        <w:rPr>
          <w:b/>
          <w:bCs/>
        </w:rPr>
        <w:t>]</w:t>
      </w:r>
      <w:r>
        <w:t xml:space="preserve"> team</w:t>
      </w:r>
      <w:r w:rsidR="00894F0C">
        <w:t xml:space="preserve">. </w:t>
      </w:r>
      <w:r w:rsidR="00F51D1D">
        <w:t xml:space="preserve">We would kindly ask that </w:t>
      </w:r>
      <w:r w:rsidR="00F51D1D" w:rsidRPr="00D046C4">
        <w:t xml:space="preserve">you to </w:t>
      </w:r>
      <w:r w:rsidR="00F51D1D">
        <w:t>start</w:t>
      </w:r>
      <w:r w:rsidR="00F51D1D" w:rsidRPr="00D046C4">
        <w:t xml:space="preserve"> prescrib</w:t>
      </w:r>
      <w:r w:rsidR="00F51D1D">
        <w:t xml:space="preserve">ing and note the indication in the patient’s medical record. Any </w:t>
      </w:r>
      <w:r w:rsidR="00AB6268">
        <w:t xml:space="preserve">other </w:t>
      </w:r>
      <w:r w:rsidR="00F51D1D">
        <w:t xml:space="preserve">changes to medicines, including to oral hypoglycaemic medications, insulin or diuretics will be communicated separately.  </w:t>
      </w:r>
    </w:p>
    <w:p w14:paraId="13D48FB8" w14:textId="55D8C9C7" w:rsidR="001A0190" w:rsidRDefault="00894F0C" w:rsidP="005D3901">
      <w:r w:rsidRPr="00741360">
        <w:t xml:space="preserve">Dapagliflozin </w:t>
      </w:r>
      <w:r w:rsidR="00D02E01" w:rsidRPr="00741360">
        <w:t xml:space="preserve">and empagliflozin are </w:t>
      </w:r>
      <w:r w:rsidR="00E961F6" w:rsidRPr="00741360">
        <w:t>sodium-glucose co</w:t>
      </w:r>
      <w:r w:rsidR="0015123D" w:rsidRPr="00741360">
        <w:t xml:space="preserve">transporter-2 </w:t>
      </w:r>
      <w:r w:rsidR="00131755" w:rsidRPr="00741360">
        <w:t xml:space="preserve">(SGLT2) </w:t>
      </w:r>
      <w:r w:rsidR="0015123D" w:rsidRPr="00741360">
        <w:t>inhibitor</w:t>
      </w:r>
      <w:r w:rsidR="00D02E01" w:rsidRPr="00741360">
        <w:t>s</w:t>
      </w:r>
      <w:r>
        <w:t xml:space="preserve"> </w:t>
      </w:r>
      <w:r w:rsidR="0038768C">
        <w:t xml:space="preserve">approved </w:t>
      </w:r>
      <w:r w:rsidR="00E961F6">
        <w:t xml:space="preserve">for treating chronic </w:t>
      </w:r>
      <w:r w:rsidR="00CB2E8E">
        <w:t>heart failure</w:t>
      </w:r>
      <w:r w:rsidR="00B804C5">
        <w:t xml:space="preserve"> with </w:t>
      </w:r>
      <w:r w:rsidR="00B804C5" w:rsidRPr="00F0638D">
        <w:rPr>
          <w:u w:val="single"/>
        </w:rPr>
        <w:t xml:space="preserve">reduced </w:t>
      </w:r>
      <w:r w:rsidR="00B804C5">
        <w:t>ejection fraction</w:t>
      </w:r>
      <w:r w:rsidR="0015123D">
        <w:t xml:space="preserve"> </w:t>
      </w:r>
      <w:r w:rsidR="00214EA7">
        <w:t xml:space="preserve">in line </w:t>
      </w:r>
      <w:r w:rsidR="00214EA7" w:rsidRPr="00741360">
        <w:t>with</w:t>
      </w:r>
      <w:r w:rsidR="00063A42" w:rsidRPr="00063A42">
        <w:rPr>
          <w:rStyle w:val="Hyperlink"/>
          <w:u w:val="none"/>
        </w:rPr>
        <w:t xml:space="preserve"> </w:t>
      </w:r>
      <w:hyperlink r:id="rId10" w:history="1">
        <w:r w:rsidR="00A15C7D">
          <w:rPr>
            <w:rStyle w:val="Hyperlink"/>
          </w:rPr>
          <w:t>NICE TA679</w:t>
        </w:r>
      </w:hyperlink>
      <w:r w:rsidR="00074F36">
        <w:rPr>
          <w:rStyle w:val="Hyperlink"/>
          <w:u w:val="none"/>
        </w:rPr>
        <w:t xml:space="preserve">  </w:t>
      </w:r>
      <w:r w:rsidR="00131755" w:rsidRPr="00741360">
        <w:t xml:space="preserve">(dapagliflozin) and </w:t>
      </w:r>
      <w:hyperlink r:id="rId11" w:history="1">
        <w:r w:rsidR="00F0638D">
          <w:rPr>
            <w:rStyle w:val="Hyperlink"/>
          </w:rPr>
          <w:t>NICE TA773</w:t>
        </w:r>
      </w:hyperlink>
      <w:r w:rsidR="002F64C2" w:rsidRPr="00741360">
        <w:t xml:space="preserve"> </w:t>
      </w:r>
      <w:r w:rsidR="00131755" w:rsidRPr="00741360">
        <w:t>(empagliflozin)</w:t>
      </w:r>
      <w:r w:rsidR="00B804C5">
        <w:t xml:space="preserve">, and for treating chronic heart failure with </w:t>
      </w:r>
      <w:r w:rsidR="00D54273" w:rsidRPr="00D54273">
        <w:rPr>
          <w:u w:val="single"/>
        </w:rPr>
        <w:t>preserved or mildly reduced</w:t>
      </w:r>
      <w:r w:rsidR="00D54273">
        <w:t xml:space="preserve"> ejection fraction in line with </w:t>
      </w:r>
      <w:hyperlink r:id="rId12" w:history="1">
        <w:r w:rsidR="00200E0C">
          <w:rPr>
            <w:rStyle w:val="Hyperlink"/>
          </w:rPr>
          <w:t>TA902</w:t>
        </w:r>
      </w:hyperlink>
      <w:r w:rsidR="00D54273">
        <w:t xml:space="preserve"> (dapagliflozin) and </w:t>
      </w:r>
      <w:hyperlink r:id="rId13" w:history="1">
        <w:r w:rsidR="00200E0C">
          <w:rPr>
            <w:rStyle w:val="Hyperlink"/>
          </w:rPr>
          <w:t>TA929</w:t>
        </w:r>
      </w:hyperlink>
      <w:r w:rsidR="00D54273">
        <w:t xml:space="preserve"> (empagliflozin).</w:t>
      </w:r>
    </w:p>
    <w:p w14:paraId="163095D8" w14:textId="77777777" w:rsidR="000F1642" w:rsidRDefault="000F1642" w:rsidP="000F1642">
      <w:r>
        <w:t xml:space="preserve">Please refer to </w:t>
      </w:r>
      <w:bookmarkStart w:id="0" w:name="_Hlk88043015"/>
      <w:r w:rsidRPr="00741360">
        <w:t>the relevant SPC (</w:t>
      </w:r>
      <w:hyperlink r:id="rId14" w:history="1">
        <w:r w:rsidRPr="00741360">
          <w:rPr>
            <w:rStyle w:val="Hyperlink"/>
          </w:rPr>
          <w:t>dapagliflozin</w:t>
        </w:r>
      </w:hyperlink>
      <w:r w:rsidRPr="00741360">
        <w:t xml:space="preserve"> / </w:t>
      </w:r>
      <w:hyperlink r:id="rId15" w:history="1">
        <w:r w:rsidRPr="00741360">
          <w:rPr>
            <w:rStyle w:val="Hyperlink"/>
          </w:rPr>
          <w:t>empagliflozin</w:t>
        </w:r>
      </w:hyperlink>
      <w:r w:rsidRPr="00741360">
        <w:t xml:space="preserve">) </w:t>
      </w:r>
      <w:hyperlink r:id="rId16" w:anchor="gref" w:history="1"/>
      <w:r w:rsidRPr="00741360">
        <w:t>and</w:t>
      </w:r>
      <w:r>
        <w:t xml:space="preserve"> the following prescribing </w:t>
      </w:r>
      <w:bookmarkEnd w:id="0"/>
      <w:r>
        <w:t>support documents:</w:t>
      </w:r>
    </w:p>
    <w:p w14:paraId="60F137BD" w14:textId="77777777" w:rsidR="000F1642" w:rsidRPr="00190453" w:rsidRDefault="000F1642" w:rsidP="000F1642">
      <w:pPr>
        <w:pStyle w:val="ListParagraph"/>
        <w:numPr>
          <w:ilvl w:val="0"/>
          <w:numId w:val="8"/>
        </w:numPr>
        <w:spacing w:after="0" w:line="259" w:lineRule="auto"/>
        <w:rPr>
          <w:bCs/>
        </w:rPr>
      </w:pPr>
      <w:r>
        <w:rPr>
          <w:b/>
        </w:rPr>
        <w:t>Cheshire and Merseyside APG prescribing statement</w:t>
      </w:r>
    </w:p>
    <w:p w14:paraId="20F43750" w14:textId="1B5BFCD4" w:rsidR="000F1642" w:rsidRPr="00F3330B" w:rsidRDefault="008348FC" w:rsidP="00F3330B">
      <w:pPr>
        <w:pStyle w:val="apcNormalBullet"/>
        <w:rPr>
          <w:bCs/>
        </w:rPr>
      </w:pPr>
      <w:hyperlink r:id="rId17" w:history="1">
        <w:r>
          <w:rPr>
            <w:rStyle w:val="Hyperlink"/>
            <w:bCs/>
          </w:rPr>
          <w:t>DAPAGLIFLOZIN and EMPAGLIFLOZIN for chronic heart failure: a multiple prescribing statement</w:t>
        </w:r>
      </w:hyperlink>
    </w:p>
    <w:p w14:paraId="53FAAFE2" w14:textId="77777777" w:rsidR="000F1642" w:rsidRDefault="000F1642" w:rsidP="000F1642">
      <w:pPr>
        <w:pStyle w:val="ListParagraph"/>
        <w:numPr>
          <w:ilvl w:val="0"/>
          <w:numId w:val="8"/>
        </w:numPr>
        <w:spacing w:after="0" w:line="259" w:lineRule="auto"/>
        <w:ind w:hanging="357"/>
        <w:rPr>
          <w:bCs/>
        </w:rPr>
      </w:pPr>
      <w:r w:rsidRPr="004B62DE">
        <w:rPr>
          <w:b/>
        </w:rPr>
        <w:t>Patient information leaflets</w:t>
      </w:r>
      <w:r w:rsidRPr="00CE112F">
        <w:rPr>
          <w:bCs/>
        </w:rPr>
        <w:t xml:space="preserve">: </w:t>
      </w:r>
    </w:p>
    <w:p w14:paraId="6CA10DFD" w14:textId="77777777" w:rsidR="00960CBB" w:rsidRDefault="00960CBB" w:rsidP="00960CBB">
      <w:pPr>
        <w:pStyle w:val="apcNormalBullet"/>
        <w:spacing w:after="0"/>
        <w:ind w:left="1434" w:hanging="357"/>
      </w:pPr>
      <w:r>
        <w:t>Patient information leaflet:</w:t>
      </w:r>
      <w:r w:rsidRPr="00EA5AC1">
        <w:t xml:space="preserve"> </w:t>
      </w:r>
      <w:hyperlink r:id="rId18" w:history="1">
        <w:r>
          <w:rPr>
            <w:rStyle w:val="Hyperlink"/>
          </w:rPr>
          <w:t xml:space="preserve">Your guide to </w:t>
        </w:r>
        <w:proofErr w:type="spellStart"/>
        <w:r>
          <w:rPr>
            <w:rStyle w:val="Hyperlink"/>
          </w:rPr>
          <w:t>Forxiga</w:t>
        </w:r>
        <w:proofErr w:type="spellEnd"/>
        <w:r>
          <w:rPr>
            <w:rStyle w:val="Hyperlink"/>
          </w:rPr>
          <w:t>® (dapagliflozin) in heart failure for patients without type 2 diabetes</w:t>
        </w:r>
      </w:hyperlink>
      <w:r>
        <w:rPr>
          <w:rStyle w:val="Hyperlink"/>
        </w:rPr>
        <w:t xml:space="preserve"> (AstraZeneca)</w:t>
      </w:r>
      <w:r>
        <w:t xml:space="preserve"> </w:t>
      </w:r>
      <w:r w:rsidRPr="00CC1FBA">
        <w:t xml:space="preserve"> </w:t>
      </w:r>
      <w:r>
        <w:t xml:space="preserve"> </w:t>
      </w:r>
    </w:p>
    <w:p w14:paraId="79A28237" w14:textId="77777777" w:rsidR="00960CBB" w:rsidRDefault="00960CBB" w:rsidP="00960CBB">
      <w:pPr>
        <w:pStyle w:val="apcNormalBullet"/>
        <w:spacing w:after="0"/>
        <w:ind w:left="1434" w:hanging="357"/>
      </w:pPr>
      <w:r>
        <w:t>Patient information leaflet:</w:t>
      </w:r>
      <w:r w:rsidRPr="00EA5AC1">
        <w:t xml:space="preserve"> </w:t>
      </w:r>
      <w:hyperlink r:id="rId19" w:history="1">
        <w:r>
          <w:rPr>
            <w:rStyle w:val="Hyperlink"/>
          </w:rPr>
          <w:t xml:space="preserve">Your guide to </w:t>
        </w:r>
        <w:proofErr w:type="spellStart"/>
        <w:r>
          <w:rPr>
            <w:rStyle w:val="Hyperlink"/>
          </w:rPr>
          <w:t>Forxiga</w:t>
        </w:r>
        <w:proofErr w:type="spellEnd"/>
        <w:r>
          <w:rPr>
            <w:rStyle w:val="Hyperlink"/>
          </w:rPr>
          <w:t>® (dapagliflozin) in heart failure for patients with type 2 diabetes</w:t>
        </w:r>
      </w:hyperlink>
      <w:r>
        <w:rPr>
          <w:rStyle w:val="Hyperlink"/>
        </w:rPr>
        <w:t xml:space="preserve"> (AstraZeneca)</w:t>
      </w:r>
      <w:r>
        <w:t xml:space="preserve"> </w:t>
      </w:r>
      <w:r w:rsidRPr="00CC1FBA">
        <w:t xml:space="preserve"> </w:t>
      </w:r>
      <w:r>
        <w:t xml:space="preserve"> </w:t>
      </w:r>
    </w:p>
    <w:p w14:paraId="6A6A79FB" w14:textId="77777777" w:rsidR="00960CBB" w:rsidRPr="0003602A" w:rsidRDefault="00960CBB" w:rsidP="00960CBB">
      <w:pPr>
        <w:pStyle w:val="apcNormalBullet"/>
        <w:spacing w:after="0"/>
        <w:ind w:left="1434" w:hanging="357"/>
      </w:pPr>
      <w:r>
        <w:rPr>
          <w:bCs/>
        </w:rPr>
        <w:t xml:space="preserve">Patient information leaflet: </w:t>
      </w:r>
      <w:hyperlink r:id="rId20" w:history="1">
        <w:r>
          <w:rPr>
            <w:rStyle w:val="Hyperlink"/>
            <w:bCs/>
          </w:rPr>
          <w:t>Jardiance® (empagliflozin)</w:t>
        </w:r>
        <w:r>
          <w:rPr>
            <w:rStyle w:val="Hyperlink"/>
          </w:rPr>
          <w:t xml:space="preserve"> and heart failure</w:t>
        </w:r>
      </w:hyperlink>
      <w:r>
        <w:t xml:space="preserve"> (Boehringer Ingelheim)</w:t>
      </w:r>
      <w:r>
        <w:rPr>
          <w:bCs/>
        </w:rPr>
        <w:t xml:space="preserve"> </w:t>
      </w:r>
    </w:p>
    <w:p w14:paraId="57069ADA" w14:textId="77777777" w:rsidR="00E95D40" w:rsidRDefault="00E95D40" w:rsidP="00B46A82">
      <w:pPr>
        <w:pStyle w:val="apcNormalBullet"/>
        <w:numPr>
          <w:ilvl w:val="0"/>
          <w:numId w:val="8"/>
        </w:numPr>
        <w:spacing w:before="120" w:after="0"/>
        <w:ind w:left="714" w:hanging="357"/>
        <w:rPr>
          <w:b/>
        </w:rPr>
      </w:pPr>
      <w:r w:rsidRPr="0003602A">
        <w:rPr>
          <w:b/>
        </w:rPr>
        <w:t>Cheshire and Merseyside heart failure pathway</w:t>
      </w:r>
    </w:p>
    <w:p w14:paraId="404667D0" w14:textId="41503CAA" w:rsidR="00E95D40" w:rsidRPr="00E95D40" w:rsidRDefault="00E95D40" w:rsidP="00B46A82">
      <w:pPr>
        <w:pStyle w:val="apcNormalBullet"/>
        <w:spacing w:after="0"/>
        <w:ind w:left="1434" w:hanging="357"/>
        <w:rPr>
          <w:bCs/>
        </w:rPr>
      </w:pPr>
      <w:hyperlink r:id="rId21" w:history="1">
        <w:r w:rsidR="00B46A82">
          <w:rPr>
            <w:rStyle w:val="Hyperlink"/>
            <w:bCs/>
          </w:rPr>
          <w:t>Pathway for the use of SGLT2 inhibitors in Heart Failure</w:t>
        </w:r>
      </w:hyperlink>
      <w:r>
        <w:rPr>
          <w:bCs/>
        </w:rPr>
        <w:t xml:space="preserve"> </w:t>
      </w:r>
      <w:r w:rsidR="00B46A82">
        <w:rPr>
          <w:bCs/>
        </w:rPr>
        <w:br/>
      </w:r>
    </w:p>
    <w:p w14:paraId="6DCBD754" w14:textId="25EF2708" w:rsidR="0073606E" w:rsidRDefault="003239EB" w:rsidP="000F1642">
      <w:r w:rsidRPr="003239EB">
        <w:t xml:space="preserve">An </w:t>
      </w:r>
      <w:r w:rsidR="001B2F24" w:rsidRPr="003239EB">
        <w:t>initial transient</w:t>
      </w:r>
      <w:r w:rsidRPr="003239EB">
        <w:t xml:space="preserve"> rise in creatinine (up to 20%) is expected which should not lead to premature discontinuation.  Monitoring to detect clinically significant changes beyond this should be performed </w:t>
      </w:r>
      <w:r w:rsidR="00DE5028" w:rsidRPr="00DE5028">
        <w:t>4</w:t>
      </w:r>
      <w:r w:rsidR="00CD5CE1">
        <w:t xml:space="preserve"> to </w:t>
      </w:r>
      <w:r w:rsidR="00DE5028" w:rsidRPr="00DE5028">
        <w:t>6 weeks after initiation then according to</w:t>
      </w:r>
      <w:r w:rsidR="00CF3D53" w:rsidRPr="00377FE4">
        <w:rPr>
          <w:rFonts w:cstheme="minorHAnsi"/>
          <w:bCs/>
          <w:lang w:eastAsia="en-GB"/>
        </w:rPr>
        <w:t xml:space="preserve"> </w:t>
      </w:r>
      <w:r w:rsidR="00CF3D53">
        <w:rPr>
          <w:rFonts w:cstheme="minorHAnsi"/>
          <w:bCs/>
          <w:lang w:eastAsia="en-GB"/>
        </w:rPr>
        <w:t xml:space="preserve">the Cheshire and Merseyside </w:t>
      </w:r>
      <w:r w:rsidR="00CF3D53" w:rsidRPr="00377FE4">
        <w:rPr>
          <w:rFonts w:cstheme="minorHAnsi"/>
          <w:bCs/>
          <w:lang w:eastAsia="en-GB"/>
        </w:rPr>
        <w:t xml:space="preserve">heart failure </w:t>
      </w:r>
      <w:r w:rsidR="00CF3D53">
        <w:rPr>
          <w:rFonts w:cstheme="minorHAnsi"/>
          <w:bCs/>
          <w:lang w:eastAsia="en-GB"/>
        </w:rPr>
        <w:t xml:space="preserve">pathway and </w:t>
      </w:r>
      <w:r w:rsidR="00CF3D53" w:rsidRPr="00482786">
        <w:t>current guidelines for heart failure</w:t>
      </w:r>
      <w:r w:rsidR="00060230">
        <w:t>,</w:t>
      </w:r>
      <w:r w:rsidR="00CF3D53" w:rsidRPr="00DE5028">
        <w:t xml:space="preserve"> </w:t>
      </w:r>
      <w:r w:rsidR="00DE5028" w:rsidRPr="00DE5028">
        <w:t xml:space="preserve">accounting for other medicines the patient is taking including ACE inhibitors or MRA. </w:t>
      </w:r>
      <w:r w:rsidR="00CD5CE1" w:rsidRPr="00377FE4">
        <w:rPr>
          <w:rFonts w:cstheme="minorHAnsi"/>
          <w:bCs/>
          <w:lang w:eastAsia="en-GB"/>
        </w:rPr>
        <w:t xml:space="preserve">See NICE Guideline [NG106]: </w:t>
      </w:r>
      <w:hyperlink r:id="rId22" w:history="1">
        <w:r w:rsidR="00CD5CE1">
          <w:rPr>
            <w:rStyle w:val="Hyperlink"/>
          </w:rPr>
          <w:t>Chronic heart failure in adults: diagnosis and management.</w:t>
        </w:r>
      </w:hyperlink>
    </w:p>
    <w:p w14:paraId="18F4FE0F" w14:textId="77777777" w:rsidR="00F93972" w:rsidRDefault="00F93972" w:rsidP="00D479E2">
      <w:pPr>
        <w:rPr>
          <w:b/>
          <w:bCs/>
        </w:rPr>
      </w:pPr>
    </w:p>
    <w:p w14:paraId="091B5AD6" w14:textId="627AB816" w:rsidR="00680D67" w:rsidRPr="00D14462" w:rsidRDefault="00680D67" w:rsidP="00D479E2">
      <w:pPr>
        <w:rPr>
          <w:b/>
          <w:bCs/>
        </w:rPr>
      </w:pPr>
      <w:r w:rsidRPr="00D14462">
        <w:rPr>
          <w:b/>
          <w:bCs/>
        </w:rPr>
        <w:lastRenderedPageBreak/>
        <w:t>I confirm that I have assessed the patient</w:t>
      </w:r>
      <w:r w:rsidR="00EA2F78">
        <w:rPr>
          <w:b/>
          <w:bCs/>
        </w:rPr>
        <w:t>’</w:t>
      </w:r>
      <w:r w:rsidRPr="00D14462">
        <w:rPr>
          <w:b/>
          <w:bCs/>
        </w:rPr>
        <w:t>s suitability for treatment, in accordance with the pre-prescribing</w:t>
      </w:r>
      <w:r w:rsidR="008F71BB">
        <w:rPr>
          <w:b/>
          <w:bCs/>
        </w:rPr>
        <w:t xml:space="preserve"> / recommendation</w:t>
      </w:r>
      <w:r w:rsidRPr="00D14462">
        <w:rPr>
          <w:b/>
          <w:bCs/>
        </w:rPr>
        <w:t xml:space="preserve"> checklist below.</w:t>
      </w:r>
    </w:p>
    <w:p w14:paraId="1BED51B6" w14:textId="7DF5C697" w:rsidR="00D14462" w:rsidRDefault="00D14462" w:rsidP="00D14462">
      <w:pPr>
        <w:pStyle w:val="NoSpacing"/>
        <w:jc w:val="both"/>
        <w:rPr>
          <w:b/>
          <w:bCs/>
          <w:u w:val="single"/>
        </w:rPr>
      </w:pPr>
      <w:r w:rsidRPr="00E81B4B">
        <w:rPr>
          <w:b/>
          <w:bCs/>
          <w:u w:val="single"/>
        </w:rPr>
        <w:t xml:space="preserve">SGLT2 inhibitors in </w:t>
      </w:r>
      <w:r w:rsidR="0075164A">
        <w:rPr>
          <w:b/>
          <w:bCs/>
          <w:u w:val="single"/>
        </w:rPr>
        <w:t>heart failure</w:t>
      </w:r>
      <w:r w:rsidRPr="00E81B4B">
        <w:rPr>
          <w:b/>
          <w:bCs/>
          <w:u w:val="single"/>
        </w:rPr>
        <w:t>:  Pre-prescribing checklist</w:t>
      </w:r>
    </w:p>
    <w:p w14:paraId="1BD8F843" w14:textId="77777777" w:rsidR="00DD65AD" w:rsidRPr="00281F1C" w:rsidRDefault="00DD65AD" w:rsidP="00D14462">
      <w:pPr>
        <w:pStyle w:val="NoSpacing"/>
        <w:jc w:val="both"/>
        <w:rPr>
          <w:b/>
          <w:bCs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861"/>
      </w:tblGrid>
      <w:tr w:rsidR="00D14462" w14:paraId="234AAE31" w14:textId="77777777" w:rsidTr="00163D3B">
        <w:trPr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7041" w14:textId="08C368B0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b/>
                <w:bCs/>
              </w:rPr>
              <w:t xml:space="preserve">Pre-prescribing </w:t>
            </w:r>
            <w:r w:rsidR="008F71BB">
              <w:rPr>
                <w:rFonts w:ascii="Calibri" w:eastAsia="SimSun" w:hAnsi="Calibri" w:cs="Calibri"/>
                <w:b/>
                <w:bCs/>
              </w:rPr>
              <w:t xml:space="preserve">/ recommendation </w:t>
            </w:r>
            <w:r w:rsidRPr="008F71BB">
              <w:rPr>
                <w:rFonts w:ascii="Calibri" w:eastAsia="SimSun" w:hAnsi="Calibri" w:cs="Calibri"/>
                <w:b/>
                <w:bCs/>
              </w:rPr>
              <w:t>checklist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7634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color w:val="000000"/>
              </w:rPr>
              <w:t>Check</w:t>
            </w:r>
          </w:p>
        </w:tc>
      </w:tr>
      <w:tr w:rsidR="00D14462" w14:paraId="281100C0" w14:textId="77777777" w:rsidTr="00163D3B">
        <w:trPr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46AD" w14:textId="77777777" w:rsidR="00D14462" w:rsidRPr="008B3B4B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 w:rsidRPr="008B3B4B">
              <w:rPr>
                <w:rFonts w:ascii="Calibri" w:eastAsia="SimSun" w:hAnsi="Calibri" w:cs="Calibri"/>
              </w:rPr>
              <w:t>Patient does not have Type 1 diabetes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0928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7953556E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9F97" w14:textId="4EEACB1B" w:rsidR="00D14462" w:rsidRPr="00E81B4B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eGFR </w:t>
            </w:r>
            <w:r w:rsidRPr="00E81B4B">
              <w:rPr>
                <w:rFonts w:ascii="Calibri" w:eastAsia="SimSun" w:hAnsi="Calibri" w:cs="Calibri"/>
              </w:rPr>
              <w:t>is ≥</w:t>
            </w:r>
            <w:r w:rsidR="005C55EF">
              <w:rPr>
                <w:rFonts w:ascii="Calibri" w:eastAsia="SimSun" w:hAnsi="Calibri" w:cs="Calibri"/>
              </w:rPr>
              <w:t>1</w:t>
            </w:r>
            <w:r w:rsidRPr="00E81B4B">
              <w:rPr>
                <w:rFonts w:ascii="Calibri" w:eastAsia="SimSun" w:hAnsi="Calibri" w:cs="Calibri"/>
              </w:rPr>
              <w:t>5 mL/min for dapagliflozin</w:t>
            </w:r>
            <w:r>
              <w:rPr>
                <w:rFonts w:ascii="Calibri" w:eastAsia="SimSun" w:hAnsi="Calibri" w:cs="Calibri"/>
              </w:rPr>
              <w:t xml:space="preserve"> or ≥20mL/min for empagliflozin at the start of treatment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3587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1D6297CD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518E" w14:textId="77777777" w:rsidR="00D14462" w:rsidRPr="00E81B4B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</w:t>
            </w:r>
            <w:r w:rsidRPr="00E81B4B">
              <w:rPr>
                <w:rFonts w:ascii="Calibri" w:eastAsia="SimSun" w:hAnsi="Calibri" w:cs="Calibri"/>
              </w:rPr>
              <w:t>o critical limb ischaemia (discuss with specialist)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59FB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0EAB8A64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4DFD" w14:textId="77777777" w:rsidR="00D14462" w:rsidRPr="00E81B4B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</w:t>
            </w:r>
            <w:r w:rsidRPr="00E81B4B">
              <w:rPr>
                <w:rFonts w:ascii="Calibri" w:eastAsia="SimSun" w:hAnsi="Calibri" w:cs="Calibri"/>
              </w:rPr>
              <w:t>o prior allergy or intolerance to SGLT</w:t>
            </w:r>
            <w:r>
              <w:rPr>
                <w:rFonts w:ascii="Calibri" w:eastAsia="SimSun" w:hAnsi="Calibri" w:cs="Calibri"/>
              </w:rPr>
              <w:t>-</w:t>
            </w:r>
            <w:r w:rsidRPr="00E81B4B">
              <w:rPr>
                <w:rFonts w:ascii="Calibri" w:eastAsia="SimSun" w:hAnsi="Calibri" w:cs="Calibri"/>
              </w:rPr>
              <w:t>2 inhibitors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DDCA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6A231310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E97B" w14:textId="77777777" w:rsidR="00D14462" w:rsidRPr="00E81B4B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</w:t>
            </w:r>
            <w:r w:rsidRPr="00E81B4B">
              <w:rPr>
                <w:rFonts w:ascii="Calibri" w:eastAsia="SimSun" w:hAnsi="Calibri" w:cs="Calibri"/>
              </w:rPr>
              <w:t>o previous pancreatitis (discuss with specialist)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F4A4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76380F26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44B2" w14:textId="77777777" w:rsidR="00D14462" w:rsidRPr="00E81B4B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</w:t>
            </w:r>
            <w:r w:rsidRPr="00E81B4B">
              <w:rPr>
                <w:rFonts w:ascii="Calibri" w:eastAsia="SimSun" w:hAnsi="Calibri" w:cs="Calibri"/>
              </w:rPr>
              <w:t>o evidence of acute volume depletion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527C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6BC90EF6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162B" w14:textId="77777777" w:rsidR="00D14462" w:rsidRDefault="00D14462" w:rsidP="00163D3B">
            <w:pPr>
              <w:autoSpaceDE w:val="0"/>
              <w:autoSpaceDN w:val="0"/>
              <w:spacing w:after="0" w:line="240" w:lineRule="auto"/>
              <w:contextualSpacing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Blood pressure within acceptable limits (SBP &gt;95mmHg)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915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11F5A7A0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E662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color w:val="000000"/>
              </w:rPr>
              <w:t>Baseline blood tests available: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108C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</w:p>
        </w:tc>
      </w:tr>
      <w:tr w:rsidR="00D14462" w14:paraId="3CCE8301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53A9" w14:textId="3431D4FB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U&amp;</w:t>
            </w:r>
            <w:r w:rsidRPr="00E81B4B">
              <w:rPr>
                <w:rFonts w:ascii="Calibri" w:eastAsia="SimSun" w:hAnsi="Calibri" w:cs="Calibri"/>
              </w:rPr>
              <w:t>Es (don’t start if eGFR is &lt;</w:t>
            </w:r>
            <w:r w:rsidR="005C55EF">
              <w:rPr>
                <w:rFonts w:ascii="Calibri" w:eastAsia="SimSun" w:hAnsi="Calibri" w:cs="Calibri"/>
              </w:rPr>
              <w:t>1</w:t>
            </w:r>
            <w:r w:rsidRPr="00E81B4B">
              <w:rPr>
                <w:rFonts w:ascii="Calibri" w:eastAsia="SimSun" w:hAnsi="Calibri" w:cs="Calibri"/>
              </w:rPr>
              <w:t>5mL/min for dapagliflozin</w:t>
            </w:r>
            <w:r>
              <w:rPr>
                <w:rFonts w:ascii="Calibri" w:eastAsia="SimSun" w:hAnsi="Calibri" w:cs="Calibri"/>
              </w:rPr>
              <w:t xml:space="preserve"> or &lt;20mL/min for empagliflozin)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2626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66103DA3" w14:textId="77777777" w:rsidTr="00163D3B">
        <w:trPr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994D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FBC (haematocrit not raised)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F3F1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00AD7188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54C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 w:rsidRPr="00E81B4B">
              <w:rPr>
                <w:rFonts w:ascii="Calibri" w:eastAsia="SimSun" w:hAnsi="Calibri" w:cs="Calibri"/>
              </w:rPr>
              <w:t>LFTs (dapagliflozin starting dose 5mg in severe hepatic impairment</w:t>
            </w:r>
            <w:r>
              <w:rPr>
                <w:rFonts w:ascii="Calibri" w:eastAsia="SimSun" w:hAnsi="Calibri" w:cs="Calibri"/>
              </w:rPr>
              <w:t>, empagliflozin not recommended in severe liver impairment)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3A7C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213EE9F8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10A7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HbA1c (If patient has diabetes, the team responsible for </w:t>
            </w:r>
            <w:r w:rsidRPr="004569EE">
              <w:rPr>
                <w:rFonts w:ascii="Calibri" w:eastAsia="SimSun" w:hAnsi="Calibri" w:cs="Calibri"/>
              </w:rPr>
              <w:t>diabetes care should be consulted. Initiating an SGLT-2 inhibitor may require adjustment to diabetes regimens</w:t>
            </w:r>
            <w:r>
              <w:rPr>
                <w:rFonts w:ascii="Calibri" w:eastAsia="SimSun" w:hAnsi="Calibri" w:cs="Calibri"/>
              </w:rPr>
              <w:t>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8A85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71337AD1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A291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color w:val="000000"/>
              </w:rPr>
              <w:t>Patient education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557D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00828718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9F08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Urinary and genital infections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E087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304D1492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5480" w14:textId="5385F102" w:rsidR="00D14462" w:rsidRDefault="00FF4EA6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Ketoacidosis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6F7E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5FD649BB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F477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Sick day rules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4163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  <w:tr w:rsidR="00D14462" w14:paraId="0FEED350" w14:textId="77777777" w:rsidTr="00163D3B">
        <w:trPr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71D0" w14:textId="77777777" w:rsidR="00D14462" w:rsidRDefault="00D14462" w:rsidP="00163D3B">
            <w:pPr>
              <w:autoSpaceDE w:val="0"/>
              <w:autoSpaceDN w:val="0"/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Patient information leaflet issued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FB19" w14:textId="77777777" w:rsidR="00D14462" w:rsidRDefault="00D14462" w:rsidP="00163D3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□</w:t>
            </w:r>
          </w:p>
        </w:tc>
      </w:tr>
    </w:tbl>
    <w:p w14:paraId="5A510846" w14:textId="51C4D3AF" w:rsidR="007C25A3" w:rsidRPr="00CB6A23" w:rsidRDefault="007C25A3" w:rsidP="00DD65AD">
      <w:pPr>
        <w:spacing w:before="120" w:after="120"/>
        <w:jc w:val="both"/>
        <w:rPr>
          <w:b/>
          <w:bCs/>
        </w:rPr>
      </w:pPr>
      <w:r w:rsidRPr="00CB6A23">
        <w:rPr>
          <w:b/>
          <w:bCs/>
        </w:rPr>
        <w:t xml:space="preserve">I confirm that I have obtained </w:t>
      </w:r>
      <w:r w:rsidR="00065EBB">
        <w:rPr>
          <w:b/>
          <w:bCs/>
        </w:rPr>
        <w:t xml:space="preserve">and documented </w:t>
      </w:r>
      <w:r w:rsidRPr="00CB6A23">
        <w:rPr>
          <w:b/>
          <w:bCs/>
        </w:rPr>
        <w:t>patient consent to treatment</w:t>
      </w:r>
      <w:r>
        <w:rPr>
          <w:b/>
          <w:bCs/>
        </w:rPr>
        <w:t xml:space="preserve"> with an SGLT2 inhibitor</w:t>
      </w:r>
      <w:r w:rsidR="00B81642">
        <w:rPr>
          <w:b/>
          <w:bCs/>
        </w:rPr>
        <w:t>.</w:t>
      </w:r>
    </w:p>
    <w:p w14:paraId="2FF35057" w14:textId="1D8652B4" w:rsidR="0038768C" w:rsidRPr="004103E0" w:rsidRDefault="0038768C" w:rsidP="0038768C">
      <w:pPr>
        <w:rPr>
          <w:u w:val="single"/>
        </w:rPr>
      </w:pPr>
      <w:r w:rsidRPr="009F4C62">
        <w:t>I</w:t>
      </w:r>
      <w:r w:rsidR="008D4C01">
        <w:t xml:space="preserve"> confirm that I</w:t>
      </w:r>
      <w:r w:rsidRPr="009F4C62">
        <w:t xml:space="preserve"> have discussed</w:t>
      </w:r>
      <w:r w:rsidR="001120E4" w:rsidRPr="009F4C62">
        <w:t xml:space="preserve"> with the patient</w:t>
      </w:r>
      <w:r w:rsidR="004D308D" w:rsidRPr="009F4C62">
        <w:t xml:space="preserve"> </w:t>
      </w:r>
      <w:r w:rsidRPr="0038768C">
        <w:t xml:space="preserve">the </w:t>
      </w:r>
      <w:r w:rsidRPr="00424009">
        <w:t xml:space="preserve">indication of </w:t>
      </w:r>
      <w:r w:rsidR="00501550" w:rsidRPr="00424009">
        <w:t>SGLT2 inhibitor</w:t>
      </w:r>
      <w:r w:rsidRPr="00424009">
        <w:t>,</w:t>
      </w:r>
      <w:r>
        <w:t xml:space="preserve"> </w:t>
      </w:r>
      <w:r w:rsidRPr="0038768C">
        <w:t>risks</w:t>
      </w:r>
      <w:r>
        <w:t xml:space="preserve">, </w:t>
      </w:r>
      <w:r w:rsidRPr="0038768C">
        <w:t>benefits</w:t>
      </w:r>
      <w:r>
        <w:t xml:space="preserve">, </w:t>
      </w:r>
      <w:r w:rsidRPr="0038768C">
        <w:t>side effects</w:t>
      </w:r>
      <w:r>
        <w:t xml:space="preserve"> and </w:t>
      </w:r>
      <w:r w:rsidRPr="0038768C">
        <w:t xml:space="preserve">appropriate action to take </w:t>
      </w:r>
      <w:r>
        <w:t xml:space="preserve">if they occur </w:t>
      </w:r>
      <w:r w:rsidRPr="0038768C">
        <w:t>including</w:t>
      </w:r>
      <w:r>
        <w:t>:</w:t>
      </w:r>
      <w:r w:rsidR="00501550">
        <w:t xml:space="preserve"> </w:t>
      </w:r>
    </w:p>
    <w:p w14:paraId="12A6BA42" w14:textId="0CFA6958" w:rsidR="0038768C" w:rsidRDefault="0077360B">
      <w:pPr>
        <w:pStyle w:val="ListParagraph"/>
        <w:numPr>
          <w:ilvl w:val="0"/>
          <w:numId w:val="4"/>
        </w:numPr>
      </w:pPr>
      <w:r>
        <w:t>S</w:t>
      </w:r>
      <w:r w:rsidR="0038768C" w:rsidRPr="0038768C">
        <w:t>ide effects of thrush, increased urination and urine tract infections. Rare adverse effects includ</w:t>
      </w:r>
      <w:r w:rsidR="00CB35E9">
        <w:t xml:space="preserve">ing </w:t>
      </w:r>
      <w:r w:rsidR="007006AE">
        <w:t>F</w:t>
      </w:r>
      <w:r w:rsidR="007006AE" w:rsidRPr="0038768C">
        <w:t>ournie</w:t>
      </w:r>
      <w:r w:rsidR="007006AE">
        <w:t>r</w:t>
      </w:r>
      <w:r w:rsidR="007006AE" w:rsidRPr="0038768C">
        <w:t>’s</w:t>
      </w:r>
      <w:r w:rsidR="0038768C" w:rsidRPr="0038768C">
        <w:t xml:space="preserve"> gangrene</w:t>
      </w:r>
      <w:r w:rsidR="009E69FD">
        <w:t xml:space="preserve"> have been kn</w:t>
      </w:r>
      <w:r w:rsidR="00E1668C">
        <w:t>own to occur</w:t>
      </w:r>
      <w:r w:rsidR="0038768C" w:rsidRPr="0038768C">
        <w:t xml:space="preserve">. </w:t>
      </w:r>
      <w:r w:rsidR="004D4CC9">
        <w:t>The patient must maintain</w:t>
      </w:r>
      <w:r w:rsidR="0038768C" w:rsidRPr="0038768C">
        <w:t xml:space="preserve"> good genital hygiene </w:t>
      </w:r>
      <w:r w:rsidR="004D4CC9">
        <w:t>and</w:t>
      </w:r>
      <w:r w:rsidR="0038768C" w:rsidRPr="0038768C">
        <w:t xml:space="preserve"> must immediately report an</w:t>
      </w:r>
      <w:r w:rsidR="005B0745">
        <w:t>y</w:t>
      </w:r>
      <w:r w:rsidR="0038768C" w:rsidRPr="0038768C">
        <w:t xml:space="preserve"> pain or redness in genital area. </w:t>
      </w:r>
    </w:p>
    <w:p w14:paraId="7B439A7E" w14:textId="12993D0E" w:rsidR="007E2647" w:rsidRDefault="0038768C" w:rsidP="001B55BF">
      <w:pPr>
        <w:pStyle w:val="ListParagraph"/>
        <w:numPr>
          <w:ilvl w:val="0"/>
          <w:numId w:val="4"/>
        </w:numPr>
        <w:jc w:val="both"/>
      </w:pPr>
      <w:r w:rsidRPr="0038768C">
        <w:t>I</w:t>
      </w:r>
      <w:r w:rsidR="000E1D8C">
        <w:t xml:space="preserve">f the patient is </w:t>
      </w:r>
      <w:r w:rsidRPr="0038768C">
        <w:t>ill with diarrhoea, vomiting, dehydration, admission for elective surgery or procedure requiring starvation</w:t>
      </w:r>
      <w:r w:rsidR="000E1D8C">
        <w:t>, they must</w:t>
      </w:r>
      <w:r w:rsidRPr="0038768C">
        <w:t xml:space="preserve"> stop taking </w:t>
      </w:r>
      <w:r w:rsidR="00474135" w:rsidRPr="00424009">
        <w:t xml:space="preserve">SGLT2 </w:t>
      </w:r>
      <w:r w:rsidR="00582052" w:rsidRPr="00424009">
        <w:t>inhibitors</w:t>
      </w:r>
      <w:r w:rsidR="00474135" w:rsidRPr="00424009">
        <w:t xml:space="preserve"> </w:t>
      </w:r>
      <w:r w:rsidRPr="00424009">
        <w:t xml:space="preserve">and </w:t>
      </w:r>
      <w:r w:rsidR="00CB35E9" w:rsidRPr="00424009">
        <w:t xml:space="preserve">not </w:t>
      </w:r>
      <w:r w:rsidRPr="00424009">
        <w:t>restart until feeling better and eating/drinking fluids normally</w:t>
      </w:r>
      <w:r w:rsidR="009C379B" w:rsidRPr="00424009">
        <w:t xml:space="preserve"> for at least 24 hours. </w:t>
      </w:r>
      <w:r w:rsidR="00013C90" w:rsidRPr="001B55BF">
        <w:rPr>
          <w:b/>
          <w:bCs/>
        </w:rPr>
        <w:t>If the patient has diabetes</w:t>
      </w:r>
      <w:r w:rsidR="00013C90" w:rsidRPr="00424009">
        <w:t>, a</w:t>
      </w:r>
      <w:r w:rsidR="009C379B" w:rsidRPr="00424009">
        <w:t>lternative diabetes treatment may be required in the interim</w:t>
      </w:r>
      <w:r w:rsidR="001743C1" w:rsidRPr="00424009">
        <w:t xml:space="preserve"> a</w:t>
      </w:r>
      <w:r w:rsidR="00E72C5C" w:rsidRPr="00424009">
        <w:t>n</w:t>
      </w:r>
      <w:r w:rsidR="001743C1" w:rsidRPr="00424009">
        <w:t xml:space="preserve">d they </w:t>
      </w:r>
      <w:r w:rsidR="000E1D8C" w:rsidRPr="00424009">
        <w:t>must</w:t>
      </w:r>
      <w:r w:rsidR="001743C1" w:rsidRPr="00424009">
        <w:t xml:space="preserve"> contact the clinician looking after their </w:t>
      </w:r>
      <w:r w:rsidR="009C379B" w:rsidRPr="00424009">
        <w:t>diabetes</w:t>
      </w:r>
      <w:r w:rsidR="001743C1" w:rsidRPr="00424009">
        <w:t xml:space="preserve"> </w:t>
      </w:r>
      <w:r w:rsidR="00D02E01" w:rsidRPr="00424009">
        <w:t xml:space="preserve">or appropriate diabetes specialist </w:t>
      </w:r>
      <w:r w:rsidR="001743C1" w:rsidRPr="00424009">
        <w:t>in</w:t>
      </w:r>
      <w:r w:rsidR="001743C1">
        <w:t xml:space="preserve"> such circumstances</w:t>
      </w:r>
      <w:r w:rsidR="009C379B">
        <w:t>.</w:t>
      </w:r>
    </w:p>
    <w:p w14:paraId="20F88C21" w14:textId="18FF2FAC" w:rsidR="00034DE3" w:rsidRPr="002F5412" w:rsidRDefault="00034DE3" w:rsidP="00034DE3">
      <w:r w:rsidRPr="002F5412">
        <w:t xml:space="preserve">I </w:t>
      </w:r>
      <w:r w:rsidR="00B81642">
        <w:t>confir</w:t>
      </w:r>
      <w:r w:rsidR="00B81642" w:rsidRPr="00AF68B6">
        <w:t xml:space="preserve">m that I </w:t>
      </w:r>
      <w:r w:rsidRPr="00AF68B6">
        <w:t>have provided the patient with a</w:t>
      </w:r>
      <w:r w:rsidRPr="002F5412">
        <w:t xml:space="preserve"> patient information leaflet for these 'sick days rules' and seeking medical advice if they are acutely unwell. </w:t>
      </w:r>
    </w:p>
    <w:p w14:paraId="7668C563" w14:textId="77777777" w:rsidR="00060230" w:rsidRDefault="00060230" w:rsidP="00D55E9B">
      <w:pPr>
        <w:jc w:val="both"/>
      </w:pPr>
    </w:p>
    <w:p w14:paraId="77EAB83E" w14:textId="62B93666" w:rsidR="00034DE3" w:rsidRPr="002F5412" w:rsidRDefault="00D55E9B" w:rsidP="00D55E9B">
      <w:pPr>
        <w:jc w:val="both"/>
      </w:pPr>
      <w:r w:rsidRPr="002F5412">
        <w:lastRenderedPageBreak/>
        <w:t xml:space="preserve">I </w:t>
      </w:r>
      <w:r w:rsidR="008B54CB">
        <w:t xml:space="preserve">confirm that I </w:t>
      </w:r>
      <w:r w:rsidRPr="002F5412">
        <w:t>have di</w:t>
      </w:r>
      <w:r w:rsidRPr="00424009">
        <w:t>scussed with the patient</w:t>
      </w:r>
      <w:r w:rsidR="0015207F">
        <w:t>:</w:t>
      </w:r>
      <w:r w:rsidRPr="00424009">
        <w:t xml:space="preserve"> </w:t>
      </w:r>
    </w:p>
    <w:p w14:paraId="5B37AE23" w14:textId="060FF523" w:rsidR="005B722A" w:rsidRPr="00986C12" w:rsidRDefault="00322B0E" w:rsidP="00034DE3">
      <w:pPr>
        <w:pStyle w:val="ListParagraph"/>
        <w:numPr>
          <w:ilvl w:val="0"/>
          <w:numId w:val="4"/>
        </w:numPr>
        <w:jc w:val="both"/>
      </w:pPr>
      <w:r w:rsidRPr="00986C12">
        <w:t xml:space="preserve">For </w:t>
      </w:r>
      <w:r w:rsidR="002E548D" w:rsidRPr="00986C12">
        <w:t>patients with type 2 diabetes - s</w:t>
      </w:r>
      <w:r w:rsidR="005B722A" w:rsidRPr="00986C12">
        <w:t>i</w:t>
      </w:r>
      <w:r w:rsidR="00D55E9B" w:rsidRPr="00986C12">
        <w:t xml:space="preserve">gns and symptoms of diabetic ketoacidosis (DKA) as they may be at risk of DKA even with normal blood glucose levels. </w:t>
      </w:r>
    </w:p>
    <w:p w14:paraId="1A35E05B" w14:textId="4ABDFFB8" w:rsidR="00C9783C" w:rsidRPr="00986C12" w:rsidRDefault="005504E1" w:rsidP="00034DE3">
      <w:pPr>
        <w:pStyle w:val="ListParagraph"/>
        <w:numPr>
          <w:ilvl w:val="0"/>
          <w:numId w:val="4"/>
        </w:numPr>
        <w:jc w:val="both"/>
      </w:pPr>
      <w:r w:rsidRPr="00986C12">
        <w:t xml:space="preserve">For patients without type 2 diabetes - signs and symptoms </w:t>
      </w:r>
      <w:r w:rsidR="003E4C3D" w:rsidRPr="00986C12">
        <w:t xml:space="preserve">of </w:t>
      </w:r>
      <w:r w:rsidRPr="00986C12">
        <w:t>ketoacidosis</w:t>
      </w:r>
      <w:r w:rsidR="00B73BED" w:rsidRPr="00986C12">
        <w:t xml:space="preserve">. </w:t>
      </w:r>
      <w:r w:rsidRPr="00986C12">
        <w:t>Ketoacidosis is less likely to occur in patients without diabetes</w:t>
      </w:r>
      <w:r w:rsidR="00B73BED" w:rsidRPr="00986C12">
        <w:t>.</w:t>
      </w:r>
    </w:p>
    <w:p w14:paraId="30B6BE1D" w14:textId="49BAC904" w:rsidR="005B722A" w:rsidRPr="002F5412" w:rsidRDefault="00D55E9B" w:rsidP="005B722A">
      <w:pPr>
        <w:pStyle w:val="ListParagraph"/>
        <w:numPr>
          <w:ilvl w:val="0"/>
          <w:numId w:val="4"/>
        </w:numPr>
        <w:jc w:val="both"/>
      </w:pPr>
      <w:r w:rsidRPr="00986C12">
        <w:t xml:space="preserve">Treatment with </w:t>
      </w:r>
      <w:r w:rsidR="00E81B4B" w:rsidRPr="00986C12">
        <w:t>SGLT2 inhibitors</w:t>
      </w:r>
      <w:r w:rsidRPr="00986C12">
        <w:t xml:space="preserve"> must be suspended if </w:t>
      </w:r>
      <w:r w:rsidR="00752569" w:rsidRPr="00986C12">
        <w:t>ketoacidosis</w:t>
      </w:r>
      <w:r w:rsidRPr="00986C12">
        <w:t xml:space="preserve"> is suspected or confirmed</w:t>
      </w:r>
      <w:r w:rsidRPr="002F5412">
        <w:t>.</w:t>
      </w:r>
    </w:p>
    <w:p w14:paraId="5DBBA5A0" w14:textId="1ABA134E" w:rsidR="001C3079" w:rsidRDefault="001C3079" w:rsidP="002D1C49">
      <w:pPr>
        <w:pStyle w:val="NoSpacing"/>
        <w:jc w:val="both"/>
      </w:pPr>
      <w:r w:rsidRPr="00C90BFD">
        <w:t xml:space="preserve">If you have any </w:t>
      </w:r>
      <w:r w:rsidR="00CB35E9" w:rsidRPr="00C90BFD">
        <w:t>questions,</w:t>
      </w:r>
      <w:r w:rsidRPr="00C90BFD">
        <w:t xml:space="preserve"> please do not hesitate to contact the team</w:t>
      </w:r>
      <w:r w:rsidR="005C5FDB">
        <w:t>.</w:t>
      </w:r>
      <w:r w:rsidR="002D1C49">
        <w:t xml:space="preserve"> </w:t>
      </w:r>
    </w:p>
    <w:p w14:paraId="02CDC591" w14:textId="77777777" w:rsidR="001C3079" w:rsidRDefault="001C3079" w:rsidP="002D1C49">
      <w:pPr>
        <w:pStyle w:val="NoSpacing"/>
        <w:jc w:val="both"/>
      </w:pPr>
    </w:p>
    <w:p w14:paraId="2B21085F" w14:textId="1E2C587E" w:rsidR="002D1C49" w:rsidRDefault="002D1C49" w:rsidP="002D1C49">
      <w:pPr>
        <w:pStyle w:val="NoSpacing"/>
        <w:jc w:val="both"/>
      </w:pPr>
      <w:r>
        <w:t>Kind regards</w:t>
      </w:r>
    </w:p>
    <w:p w14:paraId="6534A9F8" w14:textId="30698734" w:rsidR="002A19F6" w:rsidRDefault="002A19F6" w:rsidP="002D1C49">
      <w:pPr>
        <w:pStyle w:val="NoSpacing"/>
        <w:jc w:val="both"/>
      </w:pPr>
    </w:p>
    <w:p w14:paraId="1602A4B7" w14:textId="52C98BD4" w:rsidR="00E44F7C" w:rsidRPr="00E81B4B" w:rsidRDefault="0002693C" w:rsidP="002D1C49">
      <w:pPr>
        <w:pStyle w:val="NoSpacing"/>
        <w:jc w:val="both"/>
      </w:pPr>
      <w:r w:rsidRPr="0002693C">
        <w:t>Specialist</w:t>
      </w:r>
      <w:r>
        <w:rPr>
          <w:b/>
          <w:bCs/>
        </w:rPr>
        <w:t xml:space="preserve"> </w:t>
      </w:r>
      <w:r w:rsidR="0094729F" w:rsidRPr="0094729F">
        <w:rPr>
          <w:b/>
          <w:bCs/>
        </w:rPr>
        <w:t>[</w:t>
      </w:r>
      <w:r w:rsidR="0094729F" w:rsidRPr="00FC104A">
        <w:rPr>
          <w:b/>
          <w:bCs/>
          <w:u w:val="single"/>
        </w:rPr>
        <w:t>insert specialist team</w:t>
      </w:r>
      <w:r w:rsidRPr="00FC104A">
        <w:rPr>
          <w:b/>
          <w:bCs/>
          <w:u w:val="single"/>
        </w:rPr>
        <w:t xml:space="preserve"> here</w:t>
      </w:r>
      <w:r w:rsidR="0094729F" w:rsidRPr="0094729F">
        <w:rPr>
          <w:b/>
          <w:bCs/>
        </w:rPr>
        <w:t>]</w:t>
      </w:r>
      <w:r w:rsidR="0094729F">
        <w:t xml:space="preserve"> team</w:t>
      </w:r>
    </w:p>
    <w:p w14:paraId="2EFED454" w14:textId="77777777" w:rsidR="0094729F" w:rsidRDefault="0094729F" w:rsidP="002D1C49">
      <w:pPr>
        <w:pStyle w:val="NoSpacing"/>
        <w:jc w:val="both"/>
      </w:pPr>
    </w:p>
    <w:p w14:paraId="2D2B376E" w14:textId="457184C2" w:rsidR="005166E7" w:rsidRPr="00E81B4B" w:rsidRDefault="00E44F7C" w:rsidP="002D1C49">
      <w:pPr>
        <w:pStyle w:val="NoSpacing"/>
        <w:jc w:val="both"/>
      </w:pPr>
      <w:r w:rsidRPr="00E81B4B">
        <w:t>Name</w:t>
      </w:r>
      <w:r w:rsidR="002A19F6" w:rsidRPr="00E81B4B">
        <w:t xml:space="preserve"> (please print</w:t>
      </w:r>
      <w:proofErr w:type="gramStart"/>
      <w:r w:rsidR="002A19F6" w:rsidRPr="00E81B4B">
        <w:t>)</w:t>
      </w:r>
      <w:r w:rsidRPr="00E81B4B">
        <w:t>:</w:t>
      </w:r>
      <w:r w:rsidR="005166E7" w:rsidRPr="00E81B4B">
        <w:t>…</w:t>
      </w:r>
      <w:proofErr w:type="gramEnd"/>
      <w:r w:rsidR="005166E7" w:rsidRPr="00E81B4B">
        <w:t>………………………………………………</w:t>
      </w:r>
      <w:r w:rsidR="002A19F6" w:rsidRPr="00E81B4B">
        <w:t>…………………………</w:t>
      </w:r>
    </w:p>
    <w:p w14:paraId="5B7D058F" w14:textId="77777777" w:rsidR="002A19F6" w:rsidRPr="00E81B4B" w:rsidRDefault="002A19F6" w:rsidP="002D1C49">
      <w:pPr>
        <w:pStyle w:val="NoSpacing"/>
        <w:jc w:val="both"/>
      </w:pPr>
    </w:p>
    <w:p w14:paraId="38DF3B44" w14:textId="61E588FB" w:rsidR="00E44F7C" w:rsidRPr="00E81B4B" w:rsidRDefault="00E44F7C" w:rsidP="002D1C49">
      <w:pPr>
        <w:pStyle w:val="NoSpacing"/>
        <w:jc w:val="both"/>
      </w:pPr>
      <w:r w:rsidRPr="00E81B4B">
        <w:t xml:space="preserve">Job </w:t>
      </w:r>
      <w:proofErr w:type="gramStart"/>
      <w:r w:rsidRPr="00E81B4B">
        <w:t>title:</w:t>
      </w:r>
      <w:r w:rsidR="002A19F6" w:rsidRPr="00E81B4B">
        <w:t>…</w:t>
      </w:r>
      <w:proofErr w:type="gramEnd"/>
      <w:r w:rsidR="002A19F6" w:rsidRPr="00E81B4B">
        <w:t>…………………………………………………………………………………………..</w:t>
      </w:r>
    </w:p>
    <w:p w14:paraId="08BB32A3" w14:textId="10925BDA" w:rsidR="002A19F6" w:rsidRPr="00E81B4B" w:rsidRDefault="002A19F6" w:rsidP="002D1C49">
      <w:pPr>
        <w:pStyle w:val="NoSpacing"/>
        <w:jc w:val="both"/>
      </w:pPr>
    </w:p>
    <w:p w14:paraId="59DA7C5B" w14:textId="52257608" w:rsidR="002A19F6" w:rsidRPr="00E81B4B" w:rsidRDefault="002A19F6" w:rsidP="002D1C49">
      <w:pPr>
        <w:pStyle w:val="NoSpacing"/>
        <w:jc w:val="both"/>
      </w:pPr>
      <w:r w:rsidRPr="00E81B4B">
        <w:t xml:space="preserve">Name of responsible consultant (if </w:t>
      </w:r>
      <w:proofErr w:type="gramStart"/>
      <w:r w:rsidRPr="00E81B4B">
        <w:t>applicable)…</w:t>
      </w:r>
      <w:proofErr w:type="gramEnd"/>
      <w:r w:rsidRPr="00E81B4B">
        <w:t>………………………………..</w:t>
      </w:r>
    </w:p>
    <w:p w14:paraId="6CFF6CA7" w14:textId="77777777" w:rsidR="002A19F6" w:rsidRPr="00E81B4B" w:rsidRDefault="002A19F6" w:rsidP="002D1C49">
      <w:pPr>
        <w:pStyle w:val="NoSpacing"/>
        <w:jc w:val="both"/>
      </w:pPr>
    </w:p>
    <w:p w14:paraId="4C253B7D" w14:textId="0708DAF6" w:rsidR="00E44F7C" w:rsidRPr="00E81B4B" w:rsidRDefault="00E44F7C" w:rsidP="002D1C49">
      <w:pPr>
        <w:pStyle w:val="NoSpacing"/>
        <w:jc w:val="both"/>
      </w:pPr>
      <w:r w:rsidRPr="00E81B4B">
        <w:t xml:space="preserve">Contact telephone </w:t>
      </w:r>
      <w:proofErr w:type="gramStart"/>
      <w:r w:rsidRPr="00E81B4B">
        <w:t>number:</w:t>
      </w:r>
      <w:r w:rsidR="002A19F6" w:rsidRPr="00E81B4B">
        <w:t>…</w:t>
      </w:r>
      <w:proofErr w:type="gramEnd"/>
      <w:r w:rsidR="002A19F6" w:rsidRPr="00E81B4B">
        <w:t>…………………………………………………………….</w:t>
      </w:r>
    </w:p>
    <w:p w14:paraId="54CBDD8E" w14:textId="77777777" w:rsidR="002A19F6" w:rsidRPr="00E81B4B" w:rsidRDefault="002A19F6" w:rsidP="002D1C49">
      <w:pPr>
        <w:pStyle w:val="NoSpacing"/>
        <w:jc w:val="both"/>
      </w:pPr>
    </w:p>
    <w:p w14:paraId="42D1FB81" w14:textId="63F950F7" w:rsidR="00E44F7C" w:rsidRPr="00E81B4B" w:rsidRDefault="00E44F7C" w:rsidP="002D1C49">
      <w:pPr>
        <w:pStyle w:val="NoSpacing"/>
        <w:jc w:val="both"/>
      </w:pPr>
      <w:r w:rsidRPr="00E81B4B">
        <w:t xml:space="preserve">Email </w:t>
      </w:r>
      <w:proofErr w:type="gramStart"/>
      <w:r w:rsidRPr="00E81B4B">
        <w:t>address:</w:t>
      </w:r>
      <w:r w:rsidR="002A19F6" w:rsidRPr="00E81B4B">
        <w:t>…</w:t>
      </w:r>
      <w:proofErr w:type="gramEnd"/>
      <w:r w:rsidR="002A19F6" w:rsidRPr="00E81B4B">
        <w:t>………………………………………………………………………………….</w:t>
      </w:r>
    </w:p>
    <w:p w14:paraId="456EE09C" w14:textId="5985F616" w:rsidR="0038768C" w:rsidRPr="00E81B4B" w:rsidRDefault="0038768C" w:rsidP="002D1C49">
      <w:pPr>
        <w:pStyle w:val="NoSpacing"/>
        <w:jc w:val="both"/>
      </w:pPr>
    </w:p>
    <w:p w14:paraId="361FCC43" w14:textId="796A2250" w:rsidR="006A65A9" w:rsidRPr="00E81B4B" w:rsidRDefault="00396AA2" w:rsidP="009C379B">
      <w:pPr>
        <w:pStyle w:val="NoSpacing"/>
        <w:jc w:val="both"/>
      </w:pPr>
      <w:r w:rsidRPr="00E81B4B">
        <w:t>(</w:t>
      </w:r>
      <w:r w:rsidR="00166EA6" w:rsidRPr="00E81B4B">
        <w:t xml:space="preserve">SIGNED BY PRESCRIBING MEMBER OF SPECIALIST </w:t>
      </w:r>
      <w:r w:rsidR="000642A6" w:rsidRPr="0094729F">
        <w:rPr>
          <w:b/>
          <w:bCs/>
        </w:rPr>
        <w:t>[</w:t>
      </w:r>
      <w:r w:rsidR="000642A6" w:rsidRPr="001D128C">
        <w:rPr>
          <w:b/>
          <w:bCs/>
          <w:u w:val="single"/>
        </w:rPr>
        <w:t>insert specialist team here</w:t>
      </w:r>
      <w:r w:rsidR="000642A6" w:rsidRPr="0094729F">
        <w:rPr>
          <w:b/>
          <w:bCs/>
        </w:rPr>
        <w:t>]</w:t>
      </w:r>
      <w:r w:rsidR="000642A6">
        <w:t xml:space="preserve"> </w:t>
      </w:r>
      <w:r w:rsidR="00166EA6" w:rsidRPr="00E81B4B">
        <w:t>TEAM</w:t>
      </w:r>
      <w:r w:rsidRPr="00E81B4B">
        <w:t>)</w:t>
      </w:r>
    </w:p>
    <w:p w14:paraId="5AD53478" w14:textId="77777777" w:rsidR="002A19F6" w:rsidRPr="00E81B4B" w:rsidRDefault="002A19F6" w:rsidP="009C379B">
      <w:pPr>
        <w:pStyle w:val="NoSpacing"/>
        <w:jc w:val="both"/>
      </w:pPr>
    </w:p>
    <w:p w14:paraId="0343083C" w14:textId="1086F40B" w:rsidR="006A65A9" w:rsidRPr="00E81B4B" w:rsidRDefault="00166EA6" w:rsidP="009C379B">
      <w:pPr>
        <w:pStyle w:val="NoSpacing"/>
        <w:jc w:val="both"/>
        <w:rPr>
          <w:b/>
          <w:bCs/>
        </w:rPr>
      </w:pPr>
      <w:r w:rsidRPr="00E81B4B">
        <w:rPr>
          <w:b/>
          <w:bCs/>
        </w:rPr>
        <w:t>(INSERT CONTACT DETAILS OF THE SPECIALIST</w:t>
      </w:r>
      <w:r w:rsidR="001D128C">
        <w:rPr>
          <w:b/>
          <w:bCs/>
        </w:rPr>
        <w:t xml:space="preserve"> </w:t>
      </w:r>
      <w:r w:rsidRPr="00E81B4B">
        <w:rPr>
          <w:b/>
          <w:bCs/>
        </w:rPr>
        <w:t>TEAM</w:t>
      </w:r>
      <w:r w:rsidR="000F1A67" w:rsidRPr="00E81B4B">
        <w:rPr>
          <w:b/>
          <w:bCs/>
        </w:rPr>
        <w:t xml:space="preserve"> AND INCLUDE NAME OF </w:t>
      </w:r>
      <w:r w:rsidR="003F04A3" w:rsidRPr="00E81B4B">
        <w:rPr>
          <w:b/>
          <w:bCs/>
        </w:rPr>
        <w:t>RESPONSIBLE CONSULTANT</w:t>
      </w:r>
      <w:r w:rsidRPr="00E81B4B">
        <w:rPr>
          <w:b/>
          <w:bCs/>
        </w:rPr>
        <w:t>)</w:t>
      </w:r>
      <w:r w:rsidR="006A65A9" w:rsidRPr="00E81B4B">
        <w:rPr>
          <w:b/>
          <w:bCs/>
        </w:rPr>
        <w:t>.</w:t>
      </w:r>
    </w:p>
    <w:p w14:paraId="56E5E228" w14:textId="4C220D7E" w:rsidR="00A40402" w:rsidRDefault="00A40402" w:rsidP="009C379B">
      <w:pPr>
        <w:pStyle w:val="NoSpacing"/>
        <w:pBdr>
          <w:bottom w:val="single" w:sz="6" w:space="1" w:color="auto"/>
        </w:pBdr>
        <w:jc w:val="both"/>
      </w:pPr>
    </w:p>
    <w:p w14:paraId="00ED4D4A" w14:textId="16F5BE76" w:rsidR="00E9754F" w:rsidRDefault="00E9754F" w:rsidP="009C379B">
      <w:pPr>
        <w:pStyle w:val="NoSpacing"/>
        <w:jc w:val="both"/>
      </w:pPr>
    </w:p>
    <w:p w14:paraId="5A8009C3" w14:textId="77777777" w:rsidR="003470D9" w:rsidRDefault="003470D9" w:rsidP="009C379B">
      <w:pPr>
        <w:pStyle w:val="NoSpacing"/>
        <w:jc w:val="both"/>
        <w:rPr>
          <w:b/>
          <w:bCs/>
          <w:u w:val="single"/>
        </w:rPr>
      </w:pPr>
    </w:p>
    <w:p w14:paraId="062A6A29" w14:textId="77777777" w:rsidR="003470D9" w:rsidRDefault="003470D9" w:rsidP="009C379B">
      <w:pPr>
        <w:pStyle w:val="NoSpacing"/>
        <w:jc w:val="both"/>
        <w:rPr>
          <w:b/>
          <w:bCs/>
          <w:u w:val="single"/>
        </w:rPr>
      </w:pPr>
    </w:p>
    <w:p w14:paraId="38B8D965" w14:textId="77777777" w:rsidR="008B54CB" w:rsidRDefault="008B54CB" w:rsidP="00281F1C">
      <w:pPr>
        <w:pStyle w:val="NoSpacing"/>
        <w:jc w:val="both"/>
        <w:rPr>
          <w:b/>
          <w:bCs/>
          <w:u w:val="single"/>
        </w:rPr>
      </w:pPr>
    </w:p>
    <w:p w14:paraId="1C5BF479" w14:textId="77777777" w:rsidR="00281F1C" w:rsidRDefault="00281F1C" w:rsidP="009C379B">
      <w:pPr>
        <w:pStyle w:val="NoSpacing"/>
        <w:jc w:val="both"/>
      </w:pPr>
    </w:p>
    <w:sectPr w:rsidR="00281F1C" w:rsidSect="00B81849">
      <w:headerReference w:type="default" r:id="rId23"/>
      <w:footerReference w:type="default" r:id="rId2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A76F" w14:textId="77777777" w:rsidR="00755CD3" w:rsidRDefault="00755CD3" w:rsidP="00E961F6">
      <w:pPr>
        <w:spacing w:after="0" w:line="240" w:lineRule="auto"/>
      </w:pPr>
      <w:r>
        <w:separator/>
      </w:r>
    </w:p>
  </w:endnote>
  <w:endnote w:type="continuationSeparator" w:id="0">
    <w:p w14:paraId="559B6714" w14:textId="77777777" w:rsidR="00755CD3" w:rsidRDefault="00755CD3" w:rsidP="00E961F6">
      <w:pPr>
        <w:spacing w:after="0" w:line="240" w:lineRule="auto"/>
      </w:pPr>
      <w:r>
        <w:continuationSeparator/>
      </w:r>
    </w:p>
  </w:endnote>
  <w:endnote w:type="continuationNotice" w:id="1">
    <w:p w14:paraId="192262ED" w14:textId="77777777" w:rsidR="00755CD3" w:rsidRDefault="00755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472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28AFC" w14:textId="239212D6" w:rsidR="00270FF8" w:rsidRDefault="00270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6552B">
          <w:rPr>
            <w:noProof/>
          </w:rPr>
          <w:t xml:space="preserve"> of </w:t>
        </w:r>
        <w:r w:rsidR="00F2555F">
          <w:rPr>
            <w:noProof/>
          </w:rPr>
          <w:t>3</w:t>
        </w:r>
      </w:p>
    </w:sdtContent>
  </w:sdt>
  <w:p w14:paraId="3DF9D819" w14:textId="6C5950FD" w:rsidR="00692B55" w:rsidRPr="007F5E1B" w:rsidRDefault="00457FB7" w:rsidP="00457FB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Version: </w:t>
    </w:r>
    <w:r w:rsidR="000803E0">
      <w:rPr>
        <w:sz w:val="20"/>
        <w:szCs w:val="20"/>
      </w:rPr>
      <w:t>1.0</w:t>
    </w:r>
  </w:p>
  <w:p w14:paraId="3C44B6D6" w14:textId="65A72AD1" w:rsidR="00270FF8" w:rsidRPr="00BA2043" w:rsidRDefault="00CA2BD8" w:rsidP="00B8184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Date of issue: </w:t>
    </w:r>
    <w:r w:rsidR="000803E0">
      <w:rPr>
        <w:sz w:val="20"/>
        <w:szCs w:val="20"/>
      </w:rPr>
      <w:t>17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11A8" w14:textId="77777777" w:rsidR="00755CD3" w:rsidRDefault="00755CD3" w:rsidP="00E961F6">
      <w:pPr>
        <w:spacing w:after="0" w:line="240" w:lineRule="auto"/>
      </w:pPr>
      <w:r>
        <w:separator/>
      </w:r>
    </w:p>
  </w:footnote>
  <w:footnote w:type="continuationSeparator" w:id="0">
    <w:p w14:paraId="0DB4D01A" w14:textId="77777777" w:rsidR="00755CD3" w:rsidRDefault="00755CD3" w:rsidP="00E961F6">
      <w:pPr>
        <w:spacing w:after="0" w:line="240" w:lineRule="auto"/>
      </w:pPr>
      <w:r>
        <w:continuationSeparator/>
      </w:r>
    </w:p>
  </w:footnote>
  <w:footnote w:type="continuationNotice" w:id="1">
    <w:p w14:paraId="5909637D" w14:textId="77777777" w:rsidR="00755CD3" w:rsidRDefault="00755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2EF9" w14:textId="5A2376C2" w:rsidR="00E961F6" w:rsidRDefault="00E961F6" w:rsidP="00D046C4">
    <w:pPr>
      <w:pStyle w:val="Header"/>
      <w:jc w:val="center"/>
    </w:pPr>
    <w:r>
      <w:t xml:space="preserve">GP </w:t>
    </w:r>
    <w:r w:rsidRPr="00BC23C9">
      <w:t xml:space="preserve">communication </w:t>
    </w:r>
    <w:r w:rsidR="00DE66B2" w:rsidRPr="00BC23C9">
      <w:t>l</w:t>
    </w:r>
    <w:r w:rsidRPr="00BC23C9">
      <w:t>etter</w:t>
    </w:r>
    <w:r w:rsidR="00BC23C9" w:rsidRPr="00BC23C9">
      <w:t>:</w:t>
    </w:r>
    <w:r w:rsidR="00BC23C9">
      <w:t xml:space="preserve"> </w:t>
    </w:r>
    <w:r w:rsidR="00D02E01" w:rsidRPr="00BC23C9">
      <w:t>SGLT2</w:t>
    </w:r>
    <w:r w:rsidR="00741360">
      <w:t xml:space="preserve"> </w:t>
    </w:r>
    <w:r w:rsidR="00D02E01" w:rsidRPr="00BC23C9">
      <w:t>i</w:t>
    </w:r>
    <w:r w:rsidR="00741360">
      <w:t>nhibitors</w:t>
    </w:r>
    <w:r w:rsidR="00D02E01" w:rsidRPr="00BC23C9">
      <w:t xml:space="preserve"> </w:t>
    </w:r>
    <w:r w:rsidR="00DE66B2" w:rsidRPr="00BC23C9">
      <w:t xml:space="preserve">in </w:t>
    </w:r>
    <w:r w:rsidR="00F2390A">
      <w:t>heart failure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E53"/>
    <w:multiLevelType w:val="hybridMultilevel"/>
    <w:tmpl w:val="ACD0393C"/>
    <w:lvl w:ilvl="0" w:tplc="C4EAE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F2FED"/>
    <w:multiLevelType w:val="hybridMultilevel"/>
    <w:tmpl w:val="EDEC1252"/>
    <w:lvl w:ilvl="0" w:tplc="22EAE5E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4EAE31A">
      <w:start w:val="1"/>
      <w:numFmt w:val="bullet"/>
      <w:pStyle w:val="apcNormal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2F74"/>
    <w:multiLevelType w:val="hybridMultilevel"/>
    <w:tmpl w:val="4EA4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104"/>
    <w:multiLevelType w:val="hybridMultilevel"/>
    <w:tmpl w:val="7B829238"/>
    <w:lvl w:ilvl="0" w:tplc="22EAE5E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5B01"/>
    <w:multiLevelType w:val="hybridMultilevel"/>
    <w:tmpl w:val="4DBA2A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0E11"/>
    <w:multiLevelType w:val="hybridMultilevel"/>
    <w:tmpl w:val="A01CCDD0"/>
    <w:lvl w:ilvl="0" w:tplc="A99E863C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E6742"/>
    <w:multiLevelType w:val="hybridMultilevel"/>
    <w:tmpl w:val="48CA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04C8C"/>
    <w:multiLevelType w:val="hybridMultilevel"/>
    <w:tmpl w:val="C37C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5761"/>
    <w:multiLevelType w:val="hybridMultilevel"/>
    <w:tmpl w:val="8BA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823BF"/>
    <w:multiLevelType w:val="hybridMultilevel"/>
    <w:tmpl w:val="9E1C33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2430E"/>
    <w:multiLevelType w:val="hybridMultilevel"/>
    <w:tmpl w:val="7CEC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B0EDB"/>
    <w:multiLevelType w:val="hybridMultilevel"/>
    <w:tmpl w:val="502C0550"/>
    <w:lvl w:ilvl="0" w:tplc="C4EAE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882CC8"/>
    <w:multiLevelType w:val="hybridMultilevel"/>
    <w:tmpl w:val="A8C624A6"/>
    <w:lvl w:ilvl="0" w:tplc="FFFFFFFF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C1161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36DC9"/>
    <w:multiLevelType w:val="hybridMultilevel"/>
    <w:tmpl w:val="F6C0D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744364">
    <w:abstractNumId w:val="10"/>
  </w:num>
  <w:num w:numId="2" w16cid:durableId="1338919925">
    <w:abstractNumId w:val="6"/>
  </w:num>
  <w:num w:numId="3" w16cid:durableId="154541596">
    <w:abstractNumId w:val="7"/>
  </w:num>
  <w:num w:numId="4" w16cid:durableId="1901406474">
    <w:abstractNumId w:val="8"/>
  </w:num>
  <w:num w:numId="5" w16cid:durableId="1031682856">
    <w:abstractNumId w:val="5"/>
  </w:num>
  <w:num w:numId="6" w16cid:durableId="1403261498">
    <w:abstractNumId w:val="2"/>
  </w:num>
  <w:num w:numId="7" w16cid:durableId="2129854537">
    <w:abstractNumId w:val="13"/>
  </w:num>
  <w:num w:numId="8" w16cid:durableId="56588123">
    <w:abstractNumId w:val="1"/>
  </w:num>
  <w:num w:numId="9" w16cid:durableId="2144153488">
    <w:abstractNumId w:val="4"/>
  </w:num>
  <w:num w:numId="10" w16cid:durableId="638460575">
    <w:abstractNumId w:val="9"/>
  </w:num>
  <w:num w:numId="11" w16cid:durableId="374738610">
    <w:abstractNumId w:val="1"/>
    <w:lvlOverride w:ilvl="0">
      <w:startOverride w:val="1"/>
    </w:lvlOverride>
  </w:num>
  <w:num w:numId="12" w16cid:durableId="1033650580">
    <w:abstractNumId w:val="3"/>
  </w:num>
  <w:num w:numId="13" w16cid:durableId="891648160">
    <w:abstractNumId w:val="0"/>
  </w:num>
  <w:num w:numId="14" w16cid:durableId="179665710">
    <w:abstractNumId w:val="11"/>
  </w:num>
  <w:num w:numId="15" w16cid:durableId="95371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F6"/>
    <w:rsid w:val="0001232C"/>
    <w:rsid w:val="00013C90"/>
    <w:rsid w:val="0001736B"/>
    <w:rsid w:val="00021AE1"/>
    <w:rsid w:val="0002693C"/>
    <w:rsid w:val="00027276"/>
    <w:rsid w:val="00034A9E"/>
    <w:rsid w:val="00034DE3"/>
    <w:rsid w:val="0003602A"/>
    <w:rsid w:val="000440B8"/>
    <w:rsid w:val="000475E7"/>
    <w:rsid w:val="00052E88"/>
    <w:rsid w:val="00060230"/>
    <w:rsid w:val="00061D01"/>
    <w:rsid w:val="000626EB"/>
    <w:rsid w:val="00063A42"/>
    <w:rsid w:val="000642A6"/>
    <w:rsid w:val="00065EBB"/>
    <w:rsid w:val="00074F36"/>
    <w:rsid w:val="000803E0"/>
    <w:rsid w:val="000844E2"/>
    <w:rsid w:val="00090B7E"/>
    <w:rsid w:val="000941E2"/>
    <w:rsid w:val="00094234"/>
    <w:rsid w:val="000A001E"/>
    <w:rsid w:val="000B3A24"/>
    <w:rsid w:val="000B55E3"/>
    <w:rsid w:val="000B6F3E"/>
    <w:rsid w:val="000C1C00"/>
    <w:rsid w:val="000D01FE"/>
    <w:rsid w:val="000E1D8C"/>
    <w:rsid w:val="000E5A3D"/>
    <w:rsid w:val="000F1642"/>
    <w:rsid w:val="000F1A67"/>
    <w:rsid w:val="00107D97"/>
    <w:rsid w:val="001120E4"/>
    <w:rsid w:val="00115F8A"/>
    <w:rsid w:val="00131755"/>
    <w:rsid w:val="0015123D"/>
    <w:rsid w:val="0015207F"/>
    <w:rsid w:val="0015402F"/>
    <w:rsid w:val="001640B8"/>
    <w:rsid w:val="0016532E"/>
    <w:rsid w:val="001665C6"/>
    <w:rsid w:val="00166EA6"/>
    <w:rsid w:val="001743C1"/>
    <w:rsid w:val="00174B6D"/>
    <w:rsid w:val="00190453"/>
    <w:rsid w:val="001909CB"/>
    <w:rsid w:val="00194B6C"/>
    <w:rsid w:val="00194CA2"/>
    <w:rsid w:val="001961A6"/>
    <w:rsid w:val="001A0190"/>
    <w:rsid w:val="001A17B5"/>
    <w:rsid w:val="001A3FF1"/>
    <w:rsid w:val="001B2F24"/>
    <w:rsid w:val="001B3425"/>
    <w:rsid w:val="001B55BF"/>
    <w:rsid w:val="001B6ABB"/>
    <w:rsid w:val="001C2CF5"/>
    <w:rsid w:val="001C3079"/>
    <w:rsid w:val="001D128C"/>
    <w:rsid w:val="001D3412"/>
    <w:rsid w:val="001E6FF6"/>
    <w:rsid w:val="00200E0C"/>
    <w:rsid w:val="00206D5E"/>
    <w:rsid w:val="00210EB3"/>
    <w:rsid w:val="00214EA7"/>
    <w:rsid w:val="0021535E"/>
    <w:rsid w:val="00215B02"/>
    <w:rsid w:val="00216222"/>
    <w:rsid w:val="00216446"/>
    <w:rsid w:val="00231286"/>
    <w:rsid w:val="0023562F"/>
    <w:rsid w:val="002408B4"/>
    <w:rsid w:val="00242BE2"/>
    <w:rsid w:val="00270FF8"/>
    <w:rsid w:val="00281F1C"/>
    <w:rsid w:val="00287A1C"/>
    <w:rsid w:val="00291A97"/>
    <w:rsid w:val="00295CB8"/>
    <w:rsid w:val="002A19F6"/>
    <w:rsid w:val="002A2649"/>
    <w:rsid w:val="002D1C49"/>
    <w:rsid w:val="002D2715"/>
    <w:rsid w:val="002D51C0"/>
    <w:rsid w:val="002E3232"/>
    <w:rsid w:val="002E548D"/>
    <w:rsid w:val="002F0BF5"/>
    <w:rsid w:val="002F0D49"/>
    <w:rsid w:val="002F5412"/>
    <w:rsid w:val="002F64C2"/>
    <w:rsid w:val="00314353"/>
    <w:rsid w:val="00322B0E"/>
    <w:rsid w:val="003239EB"/>
    <w:rsid w:val="0033463A"/>
    <w:rsid w:val="00344C72"/>
    <w:rsid w:val="003470D9"/>
    <w:rsid w:val="00371857"/>
    <w:rsid w:val="003723E0"/>
    <w:rsid w:val="003728BD"/>
    <w:rsid w:val="00377FE4"/>
    <w:rsid w:val="0038768C"/>
    <w:rsid w:val="00396AA2"/>
    <w:rsid w:val="003A0975"/>
    <w:rsid w:val="003A387C"/>
    <w:rsid w:val="003B3DD2"/>
    <w:rsid w:val="003B738A"/>
    <w:rsid w:val="003C22F0"/>
    <w:rsid w:val="003C2A45"/>
    <w:rsid w:val="003D09EB"/>
    <w:rsid w:val="003D46FB"/>
    <w:rsid w:val="003E4C3D"/>
    <w:rsid w:val="003F04A3"/>
    <w:rsid w:val="003F139F"/>
    <w:rsid w:val="003F5561"/>
    <w:rsid w:val="003F730D"/>
    <w:rsid w:val="004058DA"/>
    <w:rsid w:val="004103E0"/>
    <w:rsid w:val="00411719"/>
    <w:rsid w:val="00413791"/>
    <w:rsid w:val="00424009"/>
    <w:rsid w:val="004508B9"/>
    <w:rsid w:val="00457FB7"/>
    <w:rsid w:val="00463635"/>
    <w:rsid w:val="00464A90"/>
    <w:rsid w:val="00474135"/>
    <w:rsid w:val="00483799"/>
    <w:rsid w:val="00485815"/>
    <w:rsid w:val="004A5C5B"/>
    <w:rsid w:val="004B56D6"/>
    <w:rsid w:val="004B62DE"/>
    <w:rsid w:val="004C0D16"/>
    <w:rsid w:val="004C48EE"/>
    <w:rsid w:val="004D308D"/>
    <w:rsid w:val="004D3381"/>
    <w:rsid w:val="004D4CC9"/>
    <w:rsid w:val="004F2C9D"/>
    <w:rsid w:val="00501181"/>
    <w:rsid w:val="00501550"/>
    <w:rsid w:val="00510C14"/>
    <w:rsid w:val="005166E7"/>
    <w:rsid w:val="0053030E"/>
    <w:rsid w:val="005329FD"/>
    <w:rsid w:val="00533F3C"/>
    <w:rsid w:val="005504E1"/>
    <w:rsid w:val="00561BAB"/>
    <w:rsid w:val="00572A4C"/>
    <w:rsid w:val="00573A28"/>
    <w:rsid w:val="00582052"/>
    <w:rsid w:val="005A0AE0"/>
    <w:rsid w:val="005A1225"/>
    <w:rsid w:val="005A41A9"/>
    <w:rsid w:val="005A54B9"/>
    <w:rsid w:val="005B0745"/>
    <w:rsid w:val="005B2B1F"/>
    <w:rsid w:val="005B722A"/>
    <w:rsid w:val="005B7C4A"/>
    <w:rsid w:val="005C0F71"/>
    <w:rsid w:val="005C4076"/>
    <w:rsid w:val="005C55EF"/>
    <w:rsid w:val="005C5FDB"/>
    <w:rsid w:val="005D3901"/>
    <w:rsid w:val="005D713F"/>
    <w:rsid w:val="005E43A2"/>
    <w:rsid w:val="005E48ED"/>
    <w:rsid w:val="005F7120"/>
    <w:rsid w:val="00630BBB"/>
    <w:rsid w:val="0063455F"/>
    <w:rsid w:val="006351CD"/>
    <w:rsid w:val="006533D3"/>
    <w:rsid w:val="006537D2"/>
    <w:rsid w:val="00653F8F"/>
    <w:rsid w:val="0066236A"/>
    <w:rsid w:val="006628AD"/>
    <w:rsid w:val="006646BD"/>
    <w:rsid w:val="00680D67"/>
    <w:rsid w:val="00692B55"/>
    <w:rsid w:val="00696D07"/>
    <w:rsid w:val="006A65A9"/>
    <w:rsid w:val="006D2E59"/>
    <w:rsid w:val="006E5545"/>
    <w:rsid w:val="006E69BE"/>
    <w:rsid w:val="006E7FF0"/>
    <w:rsid w:val="006F29C7"/>
    <w:rsid w:val="006F359F"/>
    <w:rsid w:val="006F6092"/>
    <w:rsid w:val="0070023E"/>
    <w:rsid w:val="007006AE"/>
    <w:rsid w:val="007072AA"/>
    <w:rsid w:val="007221EF"/>
    <w:rsid w:val="00722950"/>
    <w:rsid w:val="00733A61"/>
    <w:rsid w:val="0073606E"/>
    <w:rsid w:val="00741360"/>
    <w:rsid w:val="0075164A"/>
    <w:rsid w:val="00752569"/>
    <w:rsid w:val="00755CD3"/>
    <w:rsid w:val="00762B65"/>
    <w:rsid w:val="0077351B"/>
    <w:rsid w:val="0077360B"/>
    <w:rsid w:val="00774F9F"/>
    <w:rsid w:val="00775106"/>
    <w:rsid w:val="00781C47"/>
    <w:rsid w:val="007B165D"/>
    <w:rsid w:val="007C0614"/>
    <w:rsid w:val="007C25A3"/>
    <w:rsid w:val="007D52C2"/>
    <w:rsid w:val="007D611E"/>
    <w:rsid w:val="007E2647"/>
    <w:rsid w:val="007F4881"/>
    <w:rsid w:val="00804354"/>
    <w:rsid w:val="00804536"/>
    <w:rsid w:val="008045A5"/>
    <w:rsid w:val="008316A6"/>
    <w:rsid w:val="008318F6"/>
    <w:rsid w:val="00832564"/>
    <w:rsid w:val="008348FC"/>
    <w:rsid w:val="00841160"/>
    <w:rsid w:val="008434D0"/>
    <w:rsid w:val="008528AA"/>
    <w:rsid w:val="00855232"/>
    <w:rsid w:val="00860010"/>
    <w:rsid w:val="00860E59"/>
    <w:rsid w:val="008676AD"/>
    <w:rsid w:val="008767E9"/>
    <w:rsid w:val="00894F0C"/>
    <w:rsid w:val="00895680"/>
    <w:rsid w:val="008B066B"/>
    <w:rsid w:val="008B1A0F"/>
    <w:rsid w:val="008B349C"/>
    <w:rsid w:val="008B45F1"/>
    <w:rsid w:val="008B54CB"/>
    <w:rsid w:val="008C3C9F"/>
    <w:rsid w:val="008D37F0"/>
    <w:rsid w:val="008D4C01"/>
    <w:rsid w:val="008E2BE7"/>
    <w:rsid w:val="008F71BB"/>
    <w:rsid w:val="00901813"/>
    <w:rsid w:val="009178C4"/>
    <w:rsid w:val="009179F7"/>
    <w:rsid w:val="00926F71"/>
    <w:rsid w:val="00931318"/>
    <w:rsid w:val="00932A8D"/>
    <w:rsid w:val="00937CB9"/>
    <w:rsid w:val="00946C00"/>
    <w:rsid w:val="0094729F"/>
    <w:rsid w:val="00952A50"/>
    <w:rsid w:val="00954285"/>
    <w:rsid w:val="00956DCD"/>
    <w:rsid w:val="00957004"/>
    <w:rsid w:val="009600CE"/>
    <w:rsid w:val="00960CBB"/>
    <w:rsid w:val="00970322"/>
    <w:rsid w:val="00973433"/>
    <w:rsid w:val="009774C2"/>
    <w:rsid w:val="0098130E"/>
    <w:rsid w:val="00981AC9"/>
    <w:rsid w:val="00986C12"/>
    <w:rsid w:val="009C379B"/>
    <w:rsid w:val="009C4B72"/>
    <w:rsid w:val="009E193F"/>
    <w:rsid w:val="009E2B21"/>
    <w:rsid w:val="009E4D7A"/>
    <w:rsid w:val="009E69FD"/>
    <w:rsid w:val="009F4C62"/>
    <w:rsid w:val="00A10B2A"/>
    <w:rsid w:val="00A11378"/>
    <w:rsid w:val="00A11D24"/>
    <w:rsid w:val="00A1234B"/>
    <w:rsid w:val="00A15C7D"/>
    <w:rsid w:val="00A17659"/>
    <w:rsid w:val="00A17BAD"/>
    <w:rsid w:val="00A36AEA"/>
    <w:rsid w:val="00A40402"/>
    <w:rsid w:val="00A525CF"/>
    <w:rsid w:val="00A531BC"/>
    <w:rsid w:val="00A62176"/>
    <w:rsid w:val="00A6714C"/>
    <w:rsid w:val="00A7233E"/>
    <w:rsid w:val="00A82A70"/>
    <w:rsid w:val="00A97021"/>
    <w:rsid w:val="00AB28E1"/>
    <w:rsid w:val="00AB5D3D"/>
    <w:rsid w:val="00AB6268"/>
    <w:rsid w:val="00AC07C3"/>
    <w:rsid w:val="00AC3938"/>
    <w:rsid w:val="00AC4644"/>
    <w:rsid w:val="00AD329C"/>
    <w:rsid w:val="00AD5261"/>
    <w:rsid w:val="00AD798F"/>
    <w:rsid w:val="00AE2552"/>
    <w:rsid w:val="00AF4CCF"/>
    <w:rsid w:val="00AF68B6"/>
    <w:rsid w:val="00B10133"/>
    <w:rsid w:val="00B13D36"/>
    <w:rsid w:val="00B2104B"/>
    <w:rsid w:val="00B2438E"/>
    <w:rsid w:val="00B24D3A"/>
    <w:rsid w:val="00B359D2"/>
    <w:rsid w:val="00B368A1"/>
    <w:rsid w:val="00B43526"/>
    <w:rsid w:val="00B46A82"/>
    <w:rsid w:val="00B50A92"/>
    <w:rsid w:val="00B62C77"/>
    <w:rsid w:val="00B701A0"/>
    <w:rsid w:val="00B73BED"/>
    <w:rsid w:val="00B804C5"/>
    <w:rsid w:val="00B81642"/>
    <w:rsid w:val="00B81849"/>
    <w:rsid w:val="00B839AB"/>
    <w:rsid w:val="00BA2043"/>
    <w:rsid w:val="00BB0EEA"/>
    <w:rsid w:val="00BB7310"/>
    <w:rsid w:val="00BB780B"/>
    <w:rsid w:val="00BC0105"/>
    <w:rsid w:val="00BC23C9"/>
    <w:rsid w:val="00BD1D0A"/>
    <w:rsid w:val="00BD1F69"/>
    <w:rsid w:val="00BD50D6"/>
    <w:rsid w:val="00BF42B5"/>
    <w:rsid w:val="00C14BD5"/>
    <w:rsid w:val="00C15D06"/>
    <w:rsid w:val="00C17B2F"/>
    <w:rsid w:val="00C5439C"/>
    <w:rsid w:val="00C61912"/>
    <w:rsid w:val="00C759A1"/>
    <w:rsid w:val="00C83688"/>
    <w:rsid w:val="00C9783C"/>
    <w:rsid w:val="00CA2BD8"/>
    <w:rsid w:val="00CB0BEE"/>
    <w:rsid w:val="00CB2E8E"/>
    <w:rsid w:val="00CB35E9"/>
    <w:rsid w:val="00CB6A23"/>
    <w:rsid w:val="00CC355B"/>
    <w:rsid w:val="00CC73F1"/>
    <w:rsid w:val="00CD04AD"/>
    <w:rsid w:val="00CD5CE1"/>
    <w:rsid w:val="00CE112F"/>
    <w:rsid w:val="00CF3D53"/>
    <w:rsid w:val="00CF6689"/>
    <w:rsid w:val="00D02E01"/>
    <w:rsid w:val="00D046C4"/>
    <w:rsid w:val="00D10920"/>
    <w:rsid w:val="00D121CD"/>
    <w:rsid w:val="00D138AF"/>
    <w:rsid w:val="00D14462"/>
    <w:rsid w:val="00D16D86"/>
    <w:rsid w:val="00D228B9"/>
    <w:rsid w:val="00D479E2"/>
    <w:rsid w:val="00D54273"/>
    <w:rsid w:val="00D55E9B"/>
    <w:rsid w:val="00D561FD"/>
    <w:rsid w:val="00D84D3A"/>
    <w:rsid w:val="00DA16B5"/>
    <w:rsid w:val="00DA21B3"/>
    <w:rsid w:val="00DA69E9"/>
    <w:rsid w:val="00DB5E15"/>
    <w:rsid w:val="00DC0574"/>
    <w:rsid w:val="00DC5A7C"/>
    <w:rsid w:val="00DD65AD"/>
    <w:rsid w:val="00DE5028"/>
    <w:rsid w:val="00DE66B2"/>
    <w:rsid w:val="00E018DB"/>
    <w:rsid w:val="00E043FD"/>
    <w:rsid w:val="00E1668C"/>
    <w:rsid w:val="00E2366A"/>
    <w:rsid w:val="00E405BE"/>
    <w:rsid w:val="00E44F7C"/>
    <w:rsid w:val="00E4577F"/>
    <w:rsid w:val="00E46F04"/>
    <w:rsid w:val="00E53C45"/>
    <w:rsid w:val="00E54B33"/>
    <w:rsid w:val="00E63E9B"/>
    <w:rsid w:val="00E67687"/>
    <w:rsid w:val="00E72C5C"/>
    <w:rsid w:val="00E7591B"/>
    <w:rsid w:val="00E81B4B"/>
    <w:rsid w:val="00E830B3"/>
    <w:rsid w:val="00E854F6"/>
    <w:rsid w:val="00E860BD"/>
    <w:rsid w:val="00E92C57"/>
    <w:rsid w:val="00E95D40"/>
    <w:rsid w:val="00E961F6"/>
    <w:rsid w:val="00E9754F"/>
    <w:rsid w:val="00EA2F78"/>
    <w:rsid w:val="00EA5A94"/>
    <w:rsid w:val="00EB3246"/>
    <w:rsid w:val="00EB4AB7"/>
    <w:rsid w:val="00EB5E9C"/>
    <w:rsid w:val="00EC37E3"/>
    <w:rsid w:val="00EC6C8B"/>
    <w:rsid w:val="00EE206C"/>
    <w:rsid w:val="00EE72D6"/>
    <w:rsid w:val="00EF1374"/>
    <w:rsid w:val="00F02432"/>
    <w:rsid w:val="00F03CE3"/>
    <w:rsid w:val="00F0638D"/>
    <w:rsid w:val="00F14D3A"/>
    <w:rsid w:val="00F161C7"/>
    <w:rsid w:val="00F2390A"/>
    <w:rsid w:val="00F2555F"/>
    <w:rsid w:val="00F26E13"/>
    <w:rsid w:val="00F3330B"/>
    <w:rsid w:val="00F3587D"/>
    <w:rsid w:val="00F44A8A"/>
    <w:rsid w:val="00F4599A"/>
    <w:rsid w:val="00F51D1D"/>
    <w:rsid w:val="00F54C8F"/>
    <w:rsid w:val="00F6552B"/>
    <w:rsid w:val="00F740C7"/>
    <w:rsid w:val="00F86A20"/>
    <w:rsid w:val="00F93972"/>
    <w:rsid w:val="00FB1B9D"/>
    <w:rsid w:val="00FB6E31"/>
    <w:rsid w:val="00FC0A2B"/>
    <w:rsid w:val="00FC104A"/>
    <w:rsid w:val="00FC1853"/>
    <w:rsid w:val="00FE12FB"/>
    <w:rsid w:val="00FE5EFF"/>
    <w:rsid w:val="00FF1AC6"/>
    <w:rsid w:val="00FF4EA6"/>
    <w:rsid w:val="00FF5F4C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92A6A"/>
  <w15:docId w15:val="{77EA5C85-A7B3-4271-8B84-CC710F3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F6"/>
  </w:style>
  <w:style w:type="paragraph" w:styleId="Footer">
    <w:name w:val="footer"/>
    <w:basedOn w:val="Normal"/>
    <w:link w:val="FooterChar"/>
    <w:uiPriority w:val="99"/>
    <w:unhideWhenUsed/>
    <w:rsid w:val="00E96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F6"/>
  </w:style>
  <w:style w:type="character" w:styleId="Hyperlink">
    <w:name w:val="Hyperlink"/>
    <w:basedOn w:val="DefaultParagraphFont"/>
    <w:uiPriority w:val="99"/>
    <w:unhideWhenUsed/>
    <w:rsid w:val="0015123D"/>
    <w:rPr>
      <w:color w:val="0000FF" w:themeColor="hyperlink"/>
      <w:u w:val="single"/>
    </w:rPr>
  </w:style>
  <w:style w:type="paragraph" w:customStyle="1" w:styleId="Default">
    <w:name w:val="Default"/>
    <w:rsid w:val="00194B6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Spacing">
    <w:name w:val="No Spacing"/>
    <w:uiPriority w:val="1"/>
    <w:qFormat/>
    <w:rsid w:val="001C3079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0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F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9E9"/>
    <w:pPr>
      <w:spacing w:after="0" w:line="240" w:lineRule="auto"/>
    </w:pPr>
  </w:style>
  <w:style w:type="paragraph" w:customStyle="1" w:styleId="apcNormalBullet">
    <w:name w:val="apcNormalBullet"/>
    <w:basedOn w:val="Normal"/>
    <w:rsid w:val="00CE112F"/>
    <w:pPr>
      <w:numPr>
        <w:ilvl w:val="1"/>
        <w:numId w:val="8"/>
      </w:numPr>
    </w:pPr>
  </w:style>
  <w:style w:type="paragraph" w:customStyle="1" w:styleId="apcSubtitle">
    <w:name w:val="apcSubtitle"/>
    <w:basedOn w:val="Normal"/>
    <w:qFormat/>
    <w:rsid w:val="00281F1C"/>
    <w:pPr>
      <w:spacing w:before="160" w:after="20" w:line="259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e.org.uk/guidance/ta929" TargetMode="External"/><Relationship Id="rId18" Type="http://schemas.openxmlformats.org/officeDocument/2006/relationships/hyperlink" Target="https://www.forxiga.co.uk/content/dam/intelligentcontent/brands/forxiga-uk/en/resources/pdf/HF_without_T2D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anmerseyapc.nhs.uk/media/2629/sglt2i_hf_pathway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ta902" TargetMode="External"/><Relationship Id="rId17" Type="http://schemas.openxmlformats.org/officeDocument/2006/relationships/hyperlink" Target="https://www.panmerseyapc.nhs.uk/media/2743/sglt2i_hf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ines.org.uk/emc/product/7607/smpc" TargetMode="External"/><Relationship Id="rId20" Type="http://schemas.openxmlformats.org/officeDocument/2006/relationships/hyperlink" Target="https://content.boehringer-ingelheim.com/DAM/278f0f3f-c026-4945-88e5-ae380103b74c/np-gb-102669%20metabolism%20jardiance%20jardiance%20heart%20failure%20patient%20bookl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ta773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medicines.org.uk/emc/product/5441/smp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ice.org.uk/guidance/ta679" TargetMode="External"/><Relationship Id="rId19" Type="http://schemas.openxmlformats.org/officeDocument/2006/relationships/hyperlink" Target="https://www.forxiga.co.uk/content/dam/intelligentcontent/brands/forxiga-uk/en/resources/pdf/HF_with_T2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dicines.org.uk/emc/product/7607/smpc" TargetMode="External"/><Relationship Id="rId22" Type="http://schemas.openxmlformats.org/officeDocument/2006/relationships/hyperlink" Target="https://www.nice.org.uk/guidance/ng106/chapter/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FAA363E4914587DF3E37CD61951D" ma:contentTypeVersion="14" ma:contentTypeDescription="Create a new document." ma:contentTypeScope="" ma:versionID="1942985b4afe70bca325349a3cf40ea6">
  <xsd:schema xmlns:xsd="http://www.w3.org/2001/XMLSchema" xmlns:xs="http://www.w3.org/2001/XMLSchema" xmlns:p="http://schemas.microsoft.com/office/2006/metadata/properties" xmlns:ns2="f2288c42-87c6-453e-a1ec-ca5288e8f75d" xmlns:ns3="b60a3ff7-bfab-4e27-a722-e3a3376f412e" targetNamespace="http://schemas.microsoft.com/office/2006/metadata/properties" ma:root="true" ma:fieldsID="5e7265e011981b7fd46095819a66dc79" ns2:_="" ns3:_="">
    <xsd:import namespace="f2288c42-87c6-453e-a1ec-ca5288e8f75d"/>
    <xsd:import namespace="b60a3ff7-bfab-4e27-a722-e3a3376f4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8c42-87c6-453e-a1ec-ca5288e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3ff7-bfab-4e27-a722-e3a3376f4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50894b-440b-4fb7-8888-936d8e926a35}" ma:internalName="TaxCatchAll" ma:showField="CatchAllData" ma:web="b60a3ff7-bfab-4e27-a722-e3a3376f4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88c42-87c6-453e-a1ec-ca5288e8f75d">
      <Terms xmlns="http://schemas.microsoft.com/office/infopath/2007/PartnerControls"/>
    </lcf76f155ced4ddcb4097134ff3c332f>
    <TaxCatchAll xmlns="b60a3ff7-bfab-4e27-a722-e3a3376f41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CEA30-05AD-4E7A-85AA-6C4DF541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88c42-87c6-453e-a1ec-ca5288e8f75d"/>
    <ds:schemaRef ds:uri="b60a3ff7-bfab-4e27-a722-e3a3376f4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007B9-823D-43B2-A5C8-B4C0DA96ECF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0a3ff7-bfab-4e27-a722-e3a3376f412e"/>
    <ds:schemaRef ds:uri="http://purl.org/dc/elements/1.1/"/>
    <ds:schemaRef ds:uri="f2288c42-87c6-453e-a1ec-ca5288e8f7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8E796A-9534-40C7-84C0-7040A574C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communication letter: SGLT2 inhibitors in HF</vt:lpstr>
    </vt:vector>
  </TitlesOfParts>
  <Company/>
  <LinksUpToDate>false</LinksUpToDate>
  <CharactersWithSpaces>6660</CharactersWithSpaces>
  <SharedDoc>false</SharedDoc>
  <HLinks>
    <vt:vector size="66" baseType="variant">
      <vt:variant>
        <vt:i4>7602226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https://www.nice.org.uk/guidance/ng106/chapter/recommendations</vt:lpwstr>
      </vt:variant>
      <vt:variant>
        <vt:lpwstr/>
      </vt:variant>
      <vt:variant>
        <vt:i4>3211318</vt:i4>
      </vt:variant>
      <vt:variant>
        <vt:i4>27</vt:i4>
      </vt:variant>
      <vt:variant>
        <vt:i4>0</vt:i4>
      </vt:variant>
      <vt:variant>
        <vt:i4>5</vt:i4>
      </vt:variant>
      <vt:variant>
        <vt:lpwstr>https://content.boehringer-ingelheim.com/DAM/278f0f3f-c026-4945-88e5-ae380103b74c/np-gb-102669 metabolism jardiance jardiance heart failure patient booklet.pdf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https://www.forxiga.co.uk/content/dam/intelligentcontent/brands/forxiga-uk/en/resources/pdf/HF_with_T2D.pdf</vt:lpwstr>
      </vt:variant>
      <vt:variant>
        <vt:lpwstr/>
      </vt:variant>
      <vt:variant>
        <vt:i4>7340141</vt:i4>
      </vt:variant>
      <vt:variant>
        <vt:i4>21</vt:i4>
      </vt:variant>
      <vt:variant>
        <vt:i4>0</vt:i4>
      </vt:variant>
      <vt:variant>
        <vt:i4>5</vt:i4>
      </vt:variant>
      <vt:variant>
        <vt:lpwstr>https://www.forxiga.co.uk/content/dam/intelligentcontent/brands/forxiga-uk/en/resources/pdf/HF_without_T2D.pdf</vt:lpwstr>
      </vt:variant>
      <vt:variant>
        <vt:lpwstr/>
      </vt:variant>
      <vt:variant>
        <vt:i4>8061053</vt:i4>
      </vt:variant>
      <vt:variant>
        <vt:i4>18</vt:i4>
      </vt:variant>
      <vt:variant>
        <vt:i4>0</vt:i4>
      </vt:variant>
      <vt:variant>
        <vt:i4>5</vt:i4>
      </vt:variant>
      <vt:variant>
        <vt:lpwstr>https://www.medicines.org.uk/emc/product/7607/smpc</vt:lpwstr>
      </vt:variant>
      <vt:variant>
        <vt:lpwstr>gref</vt:lpwstr>
      </vt:variant>
      <vt:variant>
        <vt:i4>6881403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https://www.medicines.org.uk/emc/product/5441/smpc</vt:lpwstr>
      </vt:variant>
      <vt:variant>
        <vt:lpwstr/>
      </vt:variant>
      <vt:variant>
        <vt:i4>7274623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https://www.medicines.org.uk/emc/product/7607/smpc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https://www.nice.org.uk/guidance/ta929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https://www.nice.org.uk/guidance/ta902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https://www.nice.org.uk/guidance/ta773</vt:lpwstr>
      </vt:variant>
      <vt:variant>
        <vt:lpwstr/>
      </vt:variant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https://www.nice.org.uk/guidance/ta679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communication letter: SGLT2 inhibitors in HF</dc:title>
  <dc:subject/>
  <dc:creator/>
  <cp:keywords/>
  <cp:lastModifiedBy>Tamsin Moroney</cp:lastModifiedBy>
  <cp:revision>151</cp:revision>
  <cp:lastPrinted>2024-10-04T11:48:00Z</cp:lastPrinted>
  <dcterms:created xsi:type="dcterms:W3CDTF">2022-07-20T10:34:00Z</dcterms:created>
  <dcterms:modified xsi:type="dcterms:W3CDTF">2024-10-23T14:02:00Z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0x01010085A8FAA363E4914587DF3E37CD61951D</vt:lpwstr>
  </property>
  <property fmtid="{D5CDD505-2E9C-101B-9397-08002B2CF9AE}" pid="3" name="_dlc_DocIdItemGuid">
    <vt:lpwstr>7b07c540-85bd-48a7-9590-968c57321ec8</vt:lpwstr>
  </property>
  <property fmtid="{D5CDD505-2E9C-101B-9397-08002B2CF9AE}" pid="4" name="MediaServiceImageTags">
    <vt:lpwstr/>
  </property>
  <property fmtid="{D5CDD505-2E9C-101B-9397-08002B2CF9AE}" pid="5" name="Order">
    <vt:r8>8840600</vt:r8>
  </property>
  <property fmtid="{D5CDD505-2E9C-101B-9397-08002B2CF9AE}" pid="6" name="_ExtendedDescription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2024-06-06T14:59:51Z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fa308aa5-7f36-475e-8c69-a40290198ca6</vt:lpwstr>
  </property>
  <property fmtid="{D5CDD505-2E9C-101B-9397-08002B2CF9AE}" pid="12" name="MSIP_Label_defa4170-0d19-0005-0004-bc88714345d2_ActionId">
    <vt:lpwstr>1716b637-8b26-40d9-911d-06c9f97c0e61</vt:lpwstr>
  </property>
  <property fmtid="{D5CDD505-2E9C-101B-9397-08002B2CF9AE}" pid="13" name="MSIP_Label_defa4170-0d19-0005-0004-bc88714345d2_ContentBits">
    <vt:lpwstr>0</vt:lpwstr>
  </property>
</Properties>
</file>